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theme/theme1.xml" ContentType="application/vnd.openxmlformats-officedocument.theme+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sz w:val="28"/>
        </w:rPr>
      </w:pPr>
      <w:r>
        <w:rPr>
          <w:sz w:val="28"/>
        </w:rPr>
        <w:t>Práctica general de Finanzas</w:t>
      </w:r>
      <w:r>
        <w:rPr>
          <w:sz w:val="28"/>
        </w:rPr>
        <w:t xml:space="preserve"> – Guía de Auto estudio</w:t>
      </w:r>
    </w:p>
    <w:p>
      <w:pPr>
        <w:rPr>
          <w:b/>
        </w:rPr>
      </w:pPr>
      <w:r>
        <w:rPr>
          <w:b/>
        </w:rPr>
        <w:t>Sección teórica</w:t>
      </w:r>
    </w:p>
    <w:p>
      <w:pPr>
        <w:pStyle w:val="ListParagraph"/>
        <w:numPr>
          <w:ilvl w:val="0"/>
          <w:numId w:val="1"/>
        </w:numPr>
        <w:rPr/>
      </w:pPr>
      <w:r>
        <w:t>Explique cuál es la meta principal de la gerencia financiera.</w:t>
      </w:r>
    </w:p>
    <w:p>
      <w:pPr>
        <w:pStyle w:val="ListParagraph"/>
        <w:numPr>
          <w:ilvl w:val="0"/>
          <w:numId w:val="1"/>
        </w:numPr>
        <w:rPr/>
      </w:pPr>
      <w:r>
        <w:t>¿Qué relación tienen las Finanzas con la Contabilidad?</w:t>
      </w:r>
    </w:p>
    <w:p>
      <w:pPr>
        <w:pStyle w:val="ListParagraph"/>
        <w:numPr>
          <w:ilvl w:val="0"/>
          <w:numId w:val="1"/>
        </w:numPr>
        <w:rPr/>
      </w:pPr>
      <w:r>
        <w:t>¿Qué importancia tienen los impuestos para la administración financiera?</w:t>
      </w:r>
    </w:p>
    <w:p>
      <w:pPr>
        <w:pStyle w:val="ListParagraph"/>
        <w:numPr>
          <w:ilvl w:val="0"/>
          <w:numId w:val="1"/>
        </w:numPr>
        <w:rPr/>
      </w:pPr>
      <w:r>
        <w:t>¿Qué técnicas se emplean para la realización del análisis e interpretación de los estados financieros?</w:t>
      </w:r>
    </w:p>
    <w:p>
      <w:pPr>
        <w:pStyle w:val="ListParagraph"/>
        <w:numPr>
          <w:ilvl w:val="0"/>
          <w:numId w:val="1"/>
        </w:numPr>
        <w:rPr/>
      </w:pPr>
      <w:r>
        <w:t>¿Qué es el capital neto de trabajo?</w:t>
      </w:r>
    </w:p>
    <w:p>
      <w:pPr>
        <w:pStyle w:val="ListParagraph"/>
        <w:numPr>
          <w:ilvl w:val="0"/>
          <w:numId w:val="1"/>
        </w:numPr>
        <w:rPr/>
      </w:pPr>
      <w:r>
        <w:t>¿Cuál es la utilidad de las razones de liquidez, rentabilidad, actividad y endeudamiento?</w:t>
      </w:r>
    </w:p>
    <w:p>
      <w:pPr>
        <w:pStyle w:val="ListParagraph"/>
        <w:numPr>
          <w:ilvl w:val="0"/>
          <w:numId w:val="1"/>
        </w:numPr>
        <w:rPr/>
      </w:pPr>
      <w:r>
        <w:t>¿Qué es el Estado de Origen y Aplicación de Fondos y cuál es su utilidad?</w:t>
      </w:r>
    </w:p>
    <w:p>
      <w:pPr>
        <w:pStyle w:val="ListParagraph"/>
        <w:numPr>
          <w:ilvl w:val="0"/>
          <w:numId w:val="1"/>
        </w:numPr>
        <w:rPr/>
      </w:pPr>
      <w:r>
        <w:t xml:space="preserve">¿En qué consiste el modelo de las 5 </w:t>
      </w:r>
      <w:r>
        <w:t>C´s</w:t>
      </w:r>
      <w:r>
        <w:t xml:space="preserve"> del crédito?</w:t>
      </w:r>
    </w:p>
    <w:p>
      <w:pPr>
        <w:pStyle w:val="ListParagraph"/>
        <w:numPr>
          <w:ilvl w:val="0"/>
          <w:numId w:val="1"/>
        </w:numPr>
        <w:rPr/>
      </w:pPr>
      <w:r>
        <w:t>¿Qué es el Balance General Proyectado y cuál es su utilidad?</w:t>
      </w:r>
    </w:p>
    <w:p>
      <w:pPr>
        <w:pStyle w:val="ListParagraph"/>
        <w:numPr>
          <w:ilvl w:val="0"/>
          <w:numId w:val="1"/>
        </w:numPr>
        <w:rPr/>
      </w:pPr>
      <w:r>
        <w:t>¿Para qué es útil un Estado de Resultados Proyectado?</w:t>
      </w:r>
    </w:p>
    <w:p>
      <w:pPr>
        <w:pStyle w:val="ListParagraph"/>
        <w:numPr>
          <w:ilvl w:val="0"/>
          <w:numId w:val="1"/>
        </w:numPr>
        <w:rPr/>
      </w:pPr>
      <w:r>
        <w:t>¿Qué es el presupuesto de caja y cuáles son sus componentes?</w:t>
      </w:r>
    </w:p>
    <w:p>
      <w:pPr>
        <w:pStyle w:val="ListParagraph"/>
        <w:numPr>
          <w:ilvl w:val="0"/>
          <w:numId w:val="1"/>
        </w:numPr>
        <w:rPr/>
      </w:pPr>
      <w:r>
        <w:t>¿Qué es el costo de capital?</w:t>
      </w:r>
    </w:p>
    <w:p>
      <w:pPr>
        <w:pStyle w:val="ListParagraph"/>
        <w:numPr>
          <w:ilvl w:val="0"/>
          <w:numId w:val="1"/>
        </w:numPr>
        <w:rPr/>
      </w:pPr>
      <w:r>
        <w:t>¿A qué se refiere el término Costo de oportunidad?</w:t>
      </w:r>
    </w:p>
    <w:p>
      <w:pPr>
        <w:pStyle w:val="ListParagraph"/>
        <w:numPr>
          <w:ilvl w:val="0"/>
          <w:numId w:val="1"/>
        </w:numPr>
        <w:rPr/>
      </w:pPr>
      <w:r>
        <w:t>¿Qué es el costo de capital promedio ponderado y cuál es su utilidad en la evaluación de proyectos de inversión?</w:t>
      </w:r>
    </w:p>
    <w:p>
      <w:pPr>
        <w:pStyle w:val="ListParagraph"/>
        <w:numPr>
          <w:ilvl w:val="0"/>
          <w:numId w:val="1"/>
        </w:numPr>
        <w:rPr/>
      </w:pPr>
      <w:r>
        <w:t>¿Qué es el Punto de Equilibrio y cuál es su utilidad?</w:t>
      </w:r>
    </w:p>
    <w:p>
      <w:pPr>
        <w:pStyle w:val="ListParagraph"/>
        <w:numPr>
          <w:ilvl w:val="0"/>
          <w:numId w:val="1"/>
        </w:numPr>
        <w:rPr/>
      </w:pPr>
      <w:r>
        <w:t>¿Qué es apalancamiento y cuáles son sus niveles?</w:t>
      </w:r>
    </w:p>
    <w:p>
      <w:pPr>
        <w:pStyle w:val="ListParagraph"/>
        <w:numPr>
          <w:ilvl w:val="0"/>
          <w:numId w:val="1"/>
        </w:numPr>
        <w:rPr/>
      </w:pPr>
      <w:r>
        <w:t>¿Qué diferencia existe entre proyectos mutuamente excluyentes y proyectos independientes?</w:t>
      </w:r>
    </w:p>
    <w:p>
      <w:pPr>
        <w:pStyle w:val="ListParagraph"/>
        <w:numPr>
          <w:ilvl w:val="0"/>
          <w:numId w:val="1"/>
        </w:numPr>
        <w:rPr/>
      </w:pPr>
      <w:r>
        <w:t>¿En qué consiste el proceso de Presupuesto de capital?</w:t>
      </w:r>
    </w:p>
    <w:p>
      <w:pPr>
        <w:pStyle w:val="ListParagraph"/>
        <w:numPr>
          <w:ilvl w:val="0"/>
          <w:numId w:val="1"/>
        </w:numPr>
        <w:rPr/>
      </w:pPr>
      <w:r>
        <w:t>¿Qué es el Período de Recuperación de la Inversión y cuál es su criterio para la aceptación o rechazo de proyectos?</w:t>
      </w:r>
    </w:p>
    <w:p>
      <w:pPr>
        <w:pStyle w:val="ListParagraph"/>
        <w:numPr>
          <w:ilvl w:val="0"/>
          <w:numId w:val="1"/>
        </w:numPr>
        <w:rPr/>
      </w:pPr>
      <w:r>
        <w:t>¿Qué es el Valor Presente Neto y cuáles son sus criterios para la evaluación de inversiones?</w:t>
      </w:r>
    </w:p>
    <w:p>
      <w:pPr>
        <w:pStyle w:val="ListParagraph"/>
        <w:numPr>
          <w:ilvl w:val="0"/>
          <w:numId w:val="1"/>
        </w:numPr>
        <w:rPr/>
      </w:pPr>
      <w:r>
        <w:t>¿Qué es la TIR y cuáles son sus criterios para la evaluación de inversiones?</w:t>
      </w:r>
    </w:p>
    <w:p>
      <w:pPr>
        <w:rPr>
          <w:b/>
        </w:rPr>
      </w:pPr>
      <w:r>
        <w:rPr>
          <w:b/>
        </w:rPr>
        <w:t>Sección práctica</w:t>
      </w:r>
    </w:p>
    <w:p>
      <w:pPr>
        <w:numPr>
          <w:ilvl w:val="0"/>
          <w:numId w:val="2"/>
        </w:numPr>
        <w:spacing w:after="200" w:line="276" w:lineRule="auto"/>
        <w:jc w:val="both"/>
        <w:rPr>
          <w:lang w:val="es-ES"/>
        </w:rPr>
      </w:pPr>
      <w:r>
        <w:rPr>
          <w:lang w:val="es-ES"/>
        </w:rPr>
        <w:t>A continuación se presentan algunas cuentas selectas del Balance General y del Estado de Resultados del Hotel El Pájaro Azul S.A., para el año que finalizó el 31 de diciembre de 2013.</w:t>
      </w:r>
    </w:p>
    <w:tbl>
      <w:tblPr>
        <w:tblW w:w="4140" w:type="dxa"/>
        <w:tblCellMar>
          <w:left w:w="70" w:type="dxa"/>
          <w:right w:w="70" w:type="dxa"/>
        </w:tblCellMar>
        <w:tblLook w:val="04A0"/>
      </w:tblPr>
      <w:tblGrid>
        <w:gridCol w:w="2988"/>
        <w:gridCol w:w="1152"/>
      </w:tblGrid>
      <w:tr>
        <w:trPr>
          <w:trHeight w:val="255"/>
        </w:trPr>
        <w:tc>
          <w:tcPr>
            <w:cnfStyle w:val="101000000000"/>
            <w:tcW w:w="4140" w:type="dxa"/>
            <w:gridSpan w:val="2"/>
            <w:tcBorders>
              <w:top w:val="nil" w:sz="4"/>
              <w:left w:val="nil" w:sz="4"/>
              <w:bottom w:val="nil" w:sz="4"/>
              <w:right w:val="nil" w:sz="4"/>
            </w:tcBorders>
            <w:shd w:val="clear" w:color="auto" w:fill="auto"/>
            <w:vAlign w:val="bottom"/>
          </w:tcPr>
          <w:p>
            <w:pPr>
              <w:spacing w:after="0" w:line="240" w:lineRule="auto"/>
              <w:jc w:val="center"/>
              <w:rPr>
                <w:rFonts w:cs="Calibri" w:eastAsia="Times New Roman"/>
                <w:b/>
                <w:color w:val="000000"/>
                <w:sz w:val="20"/>
                <w:lang w:eastAsia="es-NI"/>
              </w:rPr>
            </w:pPr>
            <w:r>
              <w:rPr>
                <w:rFonts w:cs="Calibri" w:eastAsia="Times New Roman"/>
                <w:b/>
                <w:color w:val="000000"/>
                <w:sz w:val="20"/>
                <w:lang w:eastAsia="es-NI"/>
              </w:rPr>
              <w:t>HOTEL EL PAJARO AZUL S.A.</w:t>
            </w:r>
          </w:p>
        </w:tc>
      </w:tr>
      <w:tr>
        <w:trPr>
          <w:trHeight w:val="255"/>
        </w:trPr>
        <w:tc>
          <w:tcPr>
            <w:cnfStyle w:val="001000100000"/>
            <w:tcW w:w="4140" w:type="dxa"/>
            <w:gridSpan w:val="2"/>
            <w:tcBorders>
              <w:top w:val="nil" w:sz="4"/>
              <w:left w:val="nil" w:sz="4"/>
              <w:bottom w:val="nil" w:sz="4"/>
              <w:right w:val="nil" w:sz="4"/>
            </w:tcBorders>
            <w:shd w:val="clear" w:color="auto" w:fill="auto"/>
            <w:vAlign w:val="bottom"/>
          </w:tcPr>
          <w:p>
            <w:pPr>
              <w:spacing w:after="0" w:line="240" w:lineRule="auto"/>
              <w:jc w:val="center"/>
              <w:rPr>
                <w:rFonts w:cs="Calibri" w:eastAsia="Times New Roman"/>
                <w:b/>
                <w:color w:val="000000"/>
                <w:sz w:val="20"/>
                <w:lang w:eastAsia="es-NI"/>
              </w:rPr>
            </w:pPr>
            <w:r>
              <w:rPr>
                <w:rFonts w:cs="Calibri" w:eastAsia="Times New Roman"/>
                <w:b/>
                <w:color w:val="000000"/>
                <w:sz w:val="20"/>
                <w:lang w:eastAsia="es-NI"/>
              </w:rPr>
              <w:t>CUENTAS SELECTAS DE BALANCE GENERAL</w:t>
            </w:r>
          </w:p>
        </w:tc>
      </w:tr>
      <w:tr>
        <w:trPr>
          <w:trHeight w:val="255"/>
        </w:trPr>
        <w:tc>
          <w:tcPr>
            <w:cnfStyle w:val="001000010000"/>
            <w:tcW w:w="4140" w:type="dxa"/>
            <w:gridSpan w:val="2"/>
            <w:tcBorders>
              <w:top w:val="nil" w:sz="4"/>
              <w:left w:val="nil" w:sz="4"/>
              <w:bottom w:val="nil" w:sz="4"/>
              <w:right w:val="nil" w:sz="4"/>
            </w:tcBorders>
            <w:shd w:val="clear" w:color="auto" w:fill="auto"/>
            <w:vAlign w:val="bottom"/>
          </w:tcPr>
          <w:p>
            <w:pPr>
              <w:spacing w:after="0" w:line="240" w:lineRule="auto"/>
              <w:jc w:val="center"/>
              <w:rPr>
                <w:rFonts w:cs="Calibri" w:eastAsia="Times New Roman"/>
                <w:b/>
                <w:color w:val="000000"/>
                <w:sz w:val="20"/>
                <w:lang w:eastAsia="es-NI"/>
              </w:rPr>
            </w:pPr>
            <w:r>
              <w:rPr>
                <w:rFonts w:cs="Calibri" w:eastAsia="Times New Roman"/>
                <w:b/>
                <w:color w:val="000000"/>
                <w:sz w:val="20"/>
                <w:lang w:eastAsia="es-NI"/>
              </w:rPr>
              <w:t>Y ESTADO DE RESULTADOS</w:t>
            </w:r>
          </w:p>
        </w:tc>
      </w:tr>
      <w:tr>
        <w:trPr>
          <w:trHeight w:val="255"/>
        </w:trPr>
        <w:tc>
          <w:tcPr>
            <w:cnfStyle w:val="00100010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p>
        </w:tc>
        <w:tc>
          <w:tcPr>
            <w:cnfStyle w:val="000000100000"/>
            <w:tcW w:w="1152"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p>
        </w:tc>
      </w:tr>
      <w:tr>
        <w:trPr>
          <w:trHeight w:val="270"/>
        </w:trPr>
        <w:tc>
          <w:tcPr>
            <w:cnfStyle w:val="001000010000"/>
            <w:tcW w:w="2988" w:type="dxa"/>
            <w:gridSpan w:val="1"/>
            <w:tcBorders>
              <w:top w:val="single" w:color="auto" w:sz="4"/>
              <w:left w:val="nil" w:sz="4"/>
              <w:bottom w:val="single" w:color="auto" w:sz="8"/>
              <w:right w:val="nil" w:sz="4"/>
            </w:tcBorders>
            <w:shd w:val="clear" w:color="auto" w:fill="auto"/>
            <w:vAlign w:val="bottom"/>
          </w:tcPr>
          <w:p>
            <w:pPr>
              <w:spacing w:after="0" w:line="240" w:lineRule="auto"/>
              <w:jc w:val="center"/>
              <w:rPr>
                <w:rFonts w:cs="Calibri" w:eastAsia="Times New Roman"/>
                <w:b/>
                <w:color w:val="000000"/>
                <w:sz w:val="20"/>
                <w:lang w:eastAsia="es-NI"/>
              </w:rPr>
            </w:pPr>
            <w:r>
              <w:rPr>
                <w:rFonts w:cs="Calibri" w:eastAsia="Times New Roman"/>
                <w:b/>
                <w:color w:val="000000"/>
                <w:sz w:val="20"/>
                <w:lang w:eastAsia="es-NI"/>
              </w:rPr>
              <w:t>Balance General</w:t>
            </w:r>
          </w:p>
        </w:tc>
        <w:tc>
          <w:tcPr>
            <w:cnfStyle w:val="000000010000"/>
            <w:tcW w:w="1152" w:type="dxa"/>
            <w:gridSpan w:val="1"/>
            <w:tcBorders>
              <w:top w:val="single" w:color="auto" w:sz="4"/>
              <w:left w:val="nil" w:sz="4"/>
              <w:bottom w:val="single" w:color="auto" w:sz="8"/>
              <w:right w:val="nil" w:sz="4"/>
            </w:tcBorders>
            <w:shd w:val="clear" w:color="auto" w:fill="auto"/>
            <w:vAlign w:val="bottom"/>
          </w:tcPr>
          <w:p>
            <w:pPr>
              <w:spacing w:after="0" w:line="240" w:lineRule="auto"/>
              <w:jc w:val="right"/>
              <w:rPr>
                <w:rFonts w:cs="Calibri" w:eastAsia="Times New Roman"/>
                <w:b/>
                <w:color w:val="000000"/>
                <w:sz w:val="20"/>
                <w:lang w:eastAsia="es-NI"/>
              </w:rPr>
            </w:pPr>
            <w:r>
              <w:rPr>
                <w:rFonts w:cs="Calibri" w:eastAsia="Times New Roman"/>
                <w:b/>
                <w:color w:val="000000"/>
                <w:sz w:val="20"/>
                <w:lang w:eastAsia="es-NI"/>
              </w:rPr>
              <w:t>dic-13</w:t>
            </w:r>
          </w:p>
        </w:tc>
      </w:tr>
      <w:tr>
        <w:trPr>
          <w:trHeight w:val="255"/>
        </w:trPr>
        <w:tc>
          <w:tcPr>
            <w:cnfStyle w:val="00100010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Cuentas por cobrar</w:t>
            </w:r>
          </w:p>
        </w:tc>
        <w:tc>
          <w:tcPr>
            <w:cnfStyle w:val="00000010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130,000</w:t>
            </w:r>
          </w:p>
        </w:tc>
      </w:tr>
      <w:tr>
        <w:trPr>
          <w:trHeight w:val="255"/>
        </w:trPr>
        <w:tc>
          <w:tcPr>
            <w:cnfStyle w:val="00100001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Inventario</w:t>
            </w:r>
          </w:p>
        </w:tc>
        <w:tc>
          <w:tcPr>
            <w:cnfStyle w:val="00000001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200,000</w:t>
            </w:r>
          </w:p>
        </w:tc>
      </w:tr>
      <w:tr>
        <w:trPr>
          <w:trHeight w:val="255"/>
        </w:trPr>
        <w:tc>
          <w:tcPr>
            <w:cnfStyle w:val="00100010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Activo Circulante</w:t>
            </w:r>
          </w:p>
        </w:tc>
        <w:tc>
          <w:tcPr>
            <w:cnfStyle w:val="00000010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400,000</w:t>
            </w:r>
          </w:p>
        </w:tc>
      </w:tr>
      <w:tr>
        <w:trPr>
          <w:trHeight w:val="255"/>
        </w:trPr>
        <w:tc>
          <w:tcPr>
            <w:cnfStyle w:val="00100001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Activo Total</w:t>
            </w:r>
          </w:p>
        </w:tc>
        <w:tc>
          <w:tcPr>
            <w:cnfStyle w:val="00000001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700,000</w:t>
            </w:r>
          </w:p>
        </w:tc>
      </w:tr>
      <w:tr>
        <w:trPr>
          <w:trHeight w:val="300"/>
        </w:trPr>
        <w:tc>
          <w:tcPr>
            <w:cnfStyle w:val="00100010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Cuentas por pagar</w:t>
            </w:r>
          </w:p>
        </w:tc>
        <w:tc>
          <w:tcPr>
            <w:cnfStyle w:val="00000010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35,000</w:t>
            </w:r>
          </w:p>
        </w:tc>
      </w:tr>
      <w:tr>
        <w:trPr>
          <w:trHeight w:val="300"/>
        </w:trPr>
        <w:tc>
          <w:tcPr>
            <w:cnfStyle w:val="00100001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Pasivos circulante total</w:t>
            </w:r>
          </w:p>
        </w:tc>
        <w:tc>
          <w:tcPr>
            <w:cnfStyle w:val="00000001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210,000</w:t>
            </w:r>
          </w:p>
        </w:tc>
      </w:tr>
      <w:tr>
        <w:trPr>
          <w:trHeight w:val="255"/>
        </w:trPr>
        <w:tc>
          <w:tcPr>
            <w:cnfStyle w:val="00100010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Pasivos totales</w:t>
            </w:r>
          </w:p>
        </w:tc>
        <w:tc>
          <w:tcPr>
            <w:cnfStyle w:val="00000010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450,000</w:t>
            </w:r>
          </w:p>
        </w:tc>
      </w:tr>
      <w:tr>
        <w:trPr>
          <w:trHeight w:val="255"/>
        </w:trPr>
        <w:tc>
          <w:tcPr>
            <w:cnfStyle w:val="00100001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Ventas (todas al crédito)</w:t>
            </w:r>
          </w:p>
        </w:tc>
        <w:tc>
          <w:tcPr>
            <w:cnfStyle w:val="00000001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1,142,857</w:t>
            </w:r>
          </w:p>
        </w:tc>
      </w:tr>
      <w:tr>
        <w:trPr>
          <w:trHeight w:val="255"/>
        </w:trPr>
        <w:tc>
          <w:tcPr>
            <w:cnfStyle w:val="00100010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Costo de ventas</w:t>
            </w:r>
          </w:p>
        </w:tc>
        <w:tc>
          <w:tcPr>
            <w:cnfStyle w:val="00000010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800,000</w:t>
            </w:r>
          </w:p>
        </w:tc>
      </w:tr>
      <w:tr>
        <w:trPr>
          <w:trHeight w:val="255"/>
        </w:trPr>
        <w:tc>
          <w:tcPr>
            <w:cnfStyle w:val="00100001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Compras (todas al crédito)</w:t>
            </w:r>
          </w:p>
        </w:tc>
        <w:tc>
          <w:tcPr>
            <w:cnfStyle w:val="00000001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410,000</w:t>
            </w:r>
          </w:p>
        </w:tc>
      </w:tr>
      <w:tr>
        <w:trPr>
          <w:trHeight w:val="255"/>
        </w:trPr>
        <w:tc>
          <w:tcPr>
            <w:cnfStyle w:val="00100010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Utilidad neta</w:t>
            </w:r>
          </w:p>
        </w:tc>
        <w:tc>
          <w:tcPr>
            <w:cnfStyle w:val="00000010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45,000</w:t>
            </w:r>
          </w:p>
        </w:tc>
      </w:tr>
      <w:tr>
        <w:trPr>
          <w:trHeight w:val="255"/>
        </w:trPr>
        <w:tc>
          <w:tcPr>
            <w:cnfStyle w:val="001000010000"/>
            <w:tcW w:w="2988"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Capital</w:t>
            </w:r>
          </w:p>
        </w:tc>
        <w:tc>
          <w:tcPr>
            <w:cnfStyle w:val="000000010000"/>
            <w:tcW w:w="1152" w:type="dxa"/>
            <w:gridSpan w:val="1"/>
            <w:tcBorders>
              <w:top w:val="nil" w:sz="4"/>
              <w:left w:val="nil" w:sz="4"/>
              <w:bottom w:val="nil" w:sz="4"/>
              <w:right w:val="nil" w:sz="4"/>
            </w:tcBorders>
            <w:shd w:val="clear" w:color="auto" w:fill="auto"/>
            <w:vAlign w:val="bottom"/>
          </w:tcPr>
          <w:p>
            <w:pPr>
              <w:spacing w:after="0" w:line="240" w:lineRule="auto"/>
              <w:jc w:val="right"/>
              <w:rPr>
                <w:rFonts w:cs="Calibri" w:eastAsia="Times New Roman"/>
                <w:color w:val="000000"/>
                <w:sz w:val="20"/>
                <w:lang w:eastAsia="es-NI"/>
              </w:rPr>
            </w:pPr>
            <w:r>
              <w:rPr>
                <w:rFonts w:cs="Calibri" w:eastAsia="Times New Roman"/>
                <w:color w:val="000000"/>
                <w:sz w:val="20"/>
                <w:lang w:eastAsia="es-NI"/>
              </w:rPr>
              <w:t>250,000</w:t>
            </w:r>
          </w:p>
        </w:tc>
      </w:tr>
      <w:tr>
        <w:trPr>
          <w:trHeight w:val="270"/>
        </w:trPr>
        <w:tc>
          <w:tcPr>
            <w:cnfStyle w:val="001000100000"/>
            <w:tcW w:w="2988" w:type="dxa"/>
            <w:gridSpan w:val="1"/>
            <w:tcBorders>
              <w:top w:val="nil" w:sz="4"/>
              <w:left w:val="nil" w:sz="4"/>
              <w:bottom w:val="single" w:color="auto" w:sz="8"/>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 </w:t>
            </w:r>
          </w:p>
        </w:tc>
        <w:tc>
          <w:tcPr>
            <w:cnfStyle w:val="000000100000"/>
            <w:tcW w:w="1152" w:type="dxa"/>
            <w:gridSpan w:val="1"/>
            <w:tcBorders>
              <w:top w:val="nil" w:sz="4"/>
              <w:left w:val="nil" w:sz="4"/>
              <w:bottom w:val="single" w:color="auto" w:sz="8"/>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 </w:t>
            </w:r>
          </w:p>
        </w:tc>
      </w:tr>
    </w:tbl>
    <w:p/>
    <w:p/>
    <w:p/>
    <w:p/>
    <w:p/>
    <w:p/>
    <w:p/>
    <w:p/>
    <w:p/>
    <w:p/>
    <w:p/>
    <w:p/>
    <w:p>
      <w:pPr>
        <w:ind w:left="360"/>
        <w:jc w:val="both"/>
        <w:rPr>
          <w:b/>
          <w:lang w:val="es-ES"/>
        </w:rPr>
      </w:pPr>
      <w:r>
        <w:rPr>
          <w:b/>
          <w:lang w:val="es-ES"/>
        </w:rPr>
        <w:t>Con los datos proporcionados calcule:</w:t>
      </w:r>
    </w:p>
    <w:p>
      <w:pPr>
        <w:spacing w:after="0"/>
        <w:ind w:left="360"/>
        <w:jc w:val="both"/>
        <w:rPr>
          <w:lang w:val="es-ES"/>
        </w:rPr>
      </w:pPr>
      <w:r>
        <w:rPr>
          <w:lang w:val="es-ES"/>
        </w:rPr>
        <w:t>Índice de Solvencia</w:t>
      </w:r>
      <w:r>
        <w:rPr>
          <w:lang w:val="es-ES"/>
        </w:rPr>
        <w:tab/>
      </w:r>
      <w:r>
        <w:rPr>
          <w:lang w:val="es-ES"/>
        </w:rPr>
        <w:tab/>
      </w:r>
      <w:r>
        <w:rPr>
          <w:lang w:val="es-ES"/>
        </w:rPr>
        <w:tab/>
      </w:r>
      <w:r>
        <w:rPr>
          <w:lang w:val="es-ES"/>
        </w:rPr>
        <w:tab/>
      </w:r>
      <w:r>
        <w:rPr>
          <w:lang w:val="es-ES"/>
        </w:rPr>
        <w:tab/>
        <w:t>_______________</w:t>
      </w:r>
    </w:p>
    <w:p>
      <w:pPr>
        <w:spacing w:after="0"/>
        <w:ind w:left="360"/>
        <w:jc w:val="both"/>
        <w:rPr>
          <w:lang w:val="es-ES"/>
        </w:rPr>
      </w:pPr>
      <w:r>
        <w:rPr>
          <w:lang w:val="es-ES"/>
        </w:rPr>
        <w:t>Antigüedad Promedio del Inventario (días).</w:t>
      </w:r>
      <w:r>
        <w:rPr>
          <w:lang w:val="es-ES"/>
        </w:rPr>
        <w:tab/>
      </w:r>
      <w:r>
        <w:rPr>
          <w:lang w:val="es-ES"/>
        </w:rPr>
        <w:tab/>
        <w:t>_______________</w:t>
      </w:r>
    </w:p>
    <w:p>
      <w:pPr>
        <w:spacing w:after="0"/>
        <w:ind w:left="360"/>
        <w:jc w:val="both"/>
        <w:rPr>
          <w:lang w:val="es-ES"/>
        </w:rPr>
      </w:pPr>
      <w:r>
        <w:rPr>
          <w:lang w:val="es-ES"/>
        </w:rPr>
        <w:t>Período Promedio de Cobro (días).</w:t>
      </w:r>
      <w:r>
        <w:rPr>
          <w:lang w:val="es-ES"/>
        </w:rPr>
        <w:tab/>
      </w:r>
      <w:r>
        <w:rPr>
          <w:lang w:val="es-ES"/>
        </w:rPr>
        <w:tab/>
      </w:r>
      <w:r>
        <w:rPr>
          <w:lang w:val="es-ES"/>
        </w:rPr>
        <w:tab/>
        <w:t>_______________</w:t>
      </w:r>
    </w:p>
    <w:p>
      <w:pPr>
        <w:spacing w:after="0"/>
        <w:ind w:left="360"/>
        <w:jc w:val="both"/>
        <w:rPr>
          <w:lang w:val="es-ES"/>
        </w:rPr>
      </w:pPr>
      <w:r>
        <w:rPr>
          <w:lang w:val="es-ES"/>
        </w:rPr>
        <w:t>Período Promedio de Pago (días).</w:t>
      </w:r>
      <w:r>
        <w:rPr>
          <w:lang w:val="es-ES"/>
        </w:rPr>
        <w:tab/>
      </w:r>
      <w:r>
        <w:rPr>
          <w:lang w:val="es-ES"/>
        </w:rPr>
        <w:tab/>
      </w:r>
      <w:r>
        <w:rPr>
          <w:lang w:val="es-ES"/>
        </w:rPr>
        <w:tab/>
        <w:t>_______________</w:t>
      </w:r>
    </w:p>
    <w:p>
      <w:pPr>
        <w:spacing w:after="0"/>
        <w:ind w:left="360"/>
        <w:jc w:val="both"/>
        <w:rPr>
          <w:lang w:val="es-ES"/>
        </w:rPr>
      </w:pPr>
      <w:r>
        <w:rPr>
          <w:lang w:val="es-ES"/>
        </w:rPr>
        <w:t>Razón de Deuda Total</w:t>
      </w:r>
      <w:r>
        <w:rPr>
          <w:lang w:val="es-ES"/>
        </w:rPr>
        <w:tab/>
      </w:r>
      <w:r>
        <w:rPr>
          <w:lang w:val="es-ES"/>
        </w:rPr>
        <w:tab/>
      </w:r>
      <w:r>
        <w:rPr>
          <w:lang w:val="es-ES"/>
        </w:rPr>
        <w:tab/>
      </w:r>
      <w:r>
        <w:rPr>
          <w:lang w:val="es-ES"/>
        </w:rPr>
        <w:tab/>
        <w:t>_______________</w:t>
      </w:r>
    </w:p>
    <w:p>
      <w:pPr>
        <w:spacing w:after="0"/>
        <w:ind w:left="360"/>
        <w:jc w:val="both"/>
        <w:rPr>
          <w:lang w:val="es-ES"/>
        </w:rPr>
      </w:pPr>
      <w:r>
        <w:rPr>
          <w:lang w:val="es-ES"/>
        </w:rPr>
        <w:t>Rendimiento Sobre los Activos</w:t>
      </w:r>
      <w:r>
        <w:rPr>
          <w:lang w:val="es-ES"/>
        </w:rPr>
        <w:tab/>
      </w:r>
      <w:r>
        <w:rPr>
          <w:lang w:val="es-ES"/>
        </w:rPr>
        <w:tab/>
      </w:r>
      <w:r>
        <w:rPr>
          <w:lang w:val="es-ES"/>
        </w:rPr>
        <w:tab/>
        <w:t>_______________</w:t>
      </w:r>
    </w:p>
    <w:p>
      <w:pPr>
        <w:ind w:left="360"/>
        <w:jc w:val="both"/>
        <w:rPr>
          <w:lang w:val="es-ES"/>
        </w:rPr>
      </w:pPr>
      <w:r>
        <w:rPr>
          <w:lang w:val="es-ES"/>
        </w:rPr>
        <w:t>Rendimiento Sobre el Capital</w:t>
      </w:r>
      <w:r>
        <w:rPr>
          <w:lang w:val="es-ES"/>
        </w:rPr>
        <w:tab/>
      </w:r>
      <w:r>
        <w:rPr>
          <w:lang w:val="es-ES"/>
        </w:rPr>
        <w:tab/>
      </w:r>
      <w:r>
        <w:rPr>
          <w:lang w:val="es-ES"/>
        </w:rPr>
        <w:tab/>
        <w:t>_______________</w:t>
      </w:r>
    </w:p>
    <w:p>
      <w:pPr>
        <w:spacing w:after="0"/>
        <w:ind w:left="360"/>
        <w:jc w:val="both"/>
        <w:rPr>
          <w:lang w:val="es-ES"/>
        </w:rPr>
      </w:pPr>
      <w:r>
        <w:rPr>
          <w:lang w:val="es-ES"/>
        </w:rPr>
        <w:t>Incluya todos los cálculos de soporte para cada uno de los índices solicitados.</w:t>
      </w:r>
    </w:p>
    <w:p>
      <w:pPr>
        <w:spacing w:after="0"/>
        <w:ind w:left="360"/>
        <w:jc w:val="both"/>
        <w:rPr>
          <w:lang w:val="es-ES"/>
        </w:rPr>
      </w:pPr>
    </w:p>
    <w:p>
      <w:pPr>
        <w:pStyle w:val="ListParagraph"/>
        <w:numPr>
          <w:ilvl w:val="0"/>
          <w:numId w:val="2"/>
        </w:numPr>
        <w:jc w:val="both"/>
        <w:rPr/>
      </w:pPr>
      <w:r>
        <w:rPr>
          <w:lang w:val="es-ES"/>
        </w:rPr>
        <w:t xml:space="preserve">Interprete y analice los siguientes índices que se proporcionan para el Restaurante </w:t>
      </w:r>
      <w:r>
        <w:rPr>
          <w:lang w:val="es-ES"/>
        </w:rPr>
        <w:t>Pomodoro</w:t>
      </w:r>
      <w:r>
        <w:rPr>
          <w:lang w:val="es-ES"/>
        </w:rPr>
        <w:t>. Posteriormente responda las preguntas que se listan en la parte derecha sobre la condición financiera del Restaurante</w:t>
      </w:r>
      <w:r>
        <w:rPr>
          <w:lang w:val="es-ES"/>
        </w:rPr>
        <w:t>.</w:t>
      </w:r>
    </w:p>
    <w:tbl>
      <w:tblPr>
        <w:tblW w:w="6540" w:type="dxa"/>
        <w:tblCellMar>
          <w:left w:w="70" w:type="dxa"/>
          <w:right w:w="70" w:type="dxa"/>
        </w:tblCellMar>
        <w:tblLook w:val="04A0"/>
      </w:tblPr>
      <w:tblGrid>
        <w:gridCol w:w="2940"/>
        <w:gridCol w:w="1200"/>
        <w:gridCol w:w="1200"/>
        <w:gridCol w:w="1200"/>
      </w:tblGrid>
      <w:tr>
        <w:trPr>
          <w:trHeight w:val="270"/>
        </w:trPr>
        <w:tc>
          <w:tcPr>
            <w:cnfStyle w:val="101000000000"/>
            <w:tcW w:w="2940" w:type="dxa"/>
            <w:gridSpan w:val="1"/>
            <w:tcBorders>
              <w:top w:val="single" w:color="auto" w:sz="4"/>
              <w:left w:val="nil" w:sz="4"/>
              <w:bottom w:val="single" w:color="auto" w:sz="8"/>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 </w:t>
            </w:r>
          </w:p>
        </w:tc>
        <w:tc>
          <w:tcPr>
            <w:cnfStyle w:val="100000000000"/>
            <w:tcW w:w="1200" w:type="dxa"/>
            <w:gridSpan w:val="1"/>
            <w:tcBorders>
              <w:top w:val="single" w:color="auto" w:sz="4"/>
              <w:left w:val="nil" w:sz="4"/>
              <w:bottom w:val="single" w:color="auto" w:sz="8"/>
              <w:right w:val="nil" w:sz="4"/>
            </w:tcBorders>
            <w:shd w:val="clear" w:color="auto" w:fill="auto"/>
            <w:vAlign w:val="bottom"/>
          </w:tcPr>
          <w:p>
            <w:pPr>
              <w:spacing w:after="0" w:line="240" w:lineRule="auto"/>
              <w:jc w:val="center"/>
              <w:rPr>
                <w:rFonts w:cs="Calibri" w:eastAsia="Times New Roman"/>
                <w:b/>
                <w:color w:val="000000"/>
                <w:sz w:val="20"/>
                <w:lang w:eastAsia="es-NI"/>
              </w:rPr>
            </w:pPr>
            <w:r>
              <w:rPr>
                <w:rFonts w:cs="Calibri" w:eastAsia="Times New Roman"/>
                <w:b/>
                <w:color w:val="000000"/>
                <w:sz w:val="20"/>
                <w:lang w:eastAsia="es-NI"/>
              </w:rPr>
              <w:t>2010</w:t>
            </w:r>
          </w:p>
        </w:tc>
        <w:tc>
          <w:tcPr>
            <w:cnfStyle w:val="100000000000"/>
            <w:tcW w:w="1200" w:type="dxa"/>
            <w:gridSpan w:val="1"/>
            <w:tcBorders>
              <w:top w:val="single" w:color="auto" w:sz="4"/>
              <w:left w:val="nil" w:sz="4"/>
              <w:bottom w:val="single" w:color="auto" w:sz="8"/>
              <w:right w:val="nil" w:sz="4"/>
            </w:tcBorders>
            <w:shd w:val="clear" w:color="auto" w:fill="auto"/>
            <w:vAlign w:val="bottom"/>
          </w:tcPr>
          <w:p>
            <w:pPr>
              <w:spacing w:after="0" w:line="240" w:lineRule="auto"/>
              <w:jc w:val="center"/>
              <w:rPr>
                <w:rFonts w:cs="Calibri" w:eastAsia="Times New Roman"/>
                <w:b/>
                <w:color w:val="000000"/>
                <w:sz w:val="20"/>
                <w:lang w:eastAsia="es-NI"/>
              </w:rPr>
            </w:pPr>
            <w:r>
              <w:rPr>
                <w:rFonts w:cs="Calibri" w:eastAsia="Times New Roman"/>
                <w:b/>
                <w:color w:val="000000"/>
                <w:sz w:val="20"/>
                <w:lang w:eastAsia="es-NI"/>
              </w:rPr>
              <w:t>2011</w:t>
            </w:r>
          </w:p>
        </w:tc>
        <w:tc>
          <w:tcPr>
            <w:cnfStyle w:val="100000000000"/>
            <w:tcW w:w="1200" w:type="dxa"/>
            <w:gridSpan w:val="1"/>
            <w:tcBorders>
              <w:top w:val="single" w:color="auto" w:sz="4"/>
              <w:left w:val="nil" w:sz="4"/>
              <w:bottom w:val="single" w:color="auto" w:sz="8"/>
              <w:right w:val="nil" w:sz="4"/>
            </w:tcBorders>
            <w:shd w:val="clear" w:color="auto" w:fill="auto"/>
            <w:vAlign w:val="bottom"/>
          </w:tcPr>
          <w:p>
            <w:pPr>
              <w:spacing w:after="0" w:line="240" w:lineRule="auto"/>
              <w:jc w:val="center"/>
              <w:rPr>
                <w:rFonts w:cs="Calibri" w:eastAsia="Times New Roman"/>
                <w:b/>
                <w:color w:val="000000"/>
                <w:sz w:val="20"/>
                <w:lang w:eastAsia="es-NI"/>
              </w:rPr>
            </w:pPr>
            <w:r>
              <w:rPr>
                <w:rFonts w:cs="Calibri" w:eastAsia="Times New Roman"/>
                <w:b/>
                <w:color w:val="000000"/>
                <w:sz w:val="20"/>
                <w:lang w:eastAsia="es-NI"/>
              </w:rPr>
              <w:t>Industria</w:t>
            </w:r>
          </w:p>
        </w:tc>
      </w:tr>
      <w:tr>
        <w:trPr>
          <w:trHeight w:val="255"/>
        </w:trPr>
        <w:tc>
          <w:tcPr>
            <w:cnfStyle w:val="001000100000"/>
            <w:tcW w:w="2940"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Índice de solvencia</w:t>
            </w:r>
          </w:p>
        </w:tc>
        <w:tc>
          <w:tcPr>
            <w:cnfStyle w:val="000000100000"/>
            <w:tcW w:w="1200" w:type="dxa"/>
            <w:gridSpan w:val="1"/>
            <w:tcBorders>
              <w:top w:val="nil" w:sz="4"/>
              <w:left w:val="nil" w:sz="4"/>
              <w:bottom w:val="nil" w:sz="4"/>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2.4</w:t>
            </w:r>
          </w:p>
        </w:tc>
        <w:tc>
          <w:tcPr>
            <w:cnfStyle w:val="000000100000"/>
            <w:tcW w:w="1200" w:type="dxa"/>
            <w:gridSpan w:val="1"/>
            <w:tcBorders>
              <w:top w:val="nil" w:sz="4"/>
              <w:left w:val="nil" w:sz="4"/>
              <w:bottom w:val="nil" w:sz="4"/>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1.67</w:t>
            </w:r>
          </w:p>
        </w:tc>
        <w:tc>
          <w:tcPr>
            <w:cnfStyle w:val="000000100000"/>
            <w:tcW w:w="1200" w:type="dxa"/>
            <w:gridSpan w:val="1"/>
            <w:tcBorders>
              <w:top w:val="nil" w:sz="4"/>
              <w:left w:val="nil" w:sz="4"/>
              <w:bottom w:val="nil" w:sz="4"/>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1.45</w:t>
            </w:r>
          </w:p>
        </w:tc>
      </w:tr>
      <w:tr>
        <w:trPr>
          <w:trHeight w:val="255"/>
        </w:trPr>
        <w:tc>
          <w:tcPr>
            <w:cnfStyle w:val="001000010000"/>
            <w:tcW w:w="2940"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Razón de prueba rápida</w:t>
            </w:r>
          </w:p>
        </w:tc>
        <w:tc>
          <w:tcPr>
            <w:cnfStyle w:val="000000010000"/>
            <w:tcW w:w="1200" w:type="dxa"/>
            <w:gridSpan w:val="1"/>
            <w:tcBorders>
              <w:top w:val="nil" w:sz="4"/>
              <w:left w:val="nil" w:sz="4"/>
              <w:bottom w:val="nil" w:sz="4"/>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1.8</w:t>
            </w:r>
          </w:p>
        </w:tc>
        <w:tc>
          <w:tcPr>
            <w:cnfStyle w:val="000000010000"/>
            <w:tcW w:w="1200" w:type="dxa"/>
            <w:gridSpan w:val="1"/>
            <w:tcBorders>
              <w:top w:val="nil" w:sz="4"/>
              <w:left w:val="nil" w:sz="4"/>
              <w:bottom w:val="nil" w:sz="4"/>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1.5</w:t>
            </w:r>
          </w:p>
        </w:tc>
        <w:tc>
          <w:tcPr>
            <w:cnfStyle w:val="000000010000"/>
            <w:tcW w:w="1200" w:type="dxa"/>
            <w:gridSpan w:val="1"/>
            <w:tcBorders>
              <w:top w:val="nil" w:sz="4"/>
              <w:left w:val="nil" w:sz="4"/>
              <w:bottom w:val="nil" w:sz="4"/>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1.35</w:t>
            </w:r>
          </w:p>
        </w:tc>
      </w:tr>
      <w:tr>
        <w:trPr>
          <w:trHeight w:val="255"/>
        </w:trPr>
        <w:tc>
          <w:tcPr>
            <w:cnfStyle w:val="001000100000"/>
            <w:tcW w:w="2940" w:type="dxa"/>
            <w:gridSpan w:val="1"/>
            <w:tcBorders>
              <w:top w:val="nil" w:sz="4"/>
              <w:left w:val="nil" w:sz="4"/>
              <w:bottom w:val="nil" w:sz="4"/>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Razón de deuda total</w:t>
            </w:r>
          </w:p>
        </w:tc>
        <w:tc>
          <w:tcPr>
            <w:cnfStyle w:val="000000100000"/>
            <w:tcW w:w="1200" w:type="dxa"/>
            <w:gridSpan w:val="1"/>
            <w:tcBorders>
              <w:top w:val="nil" w:sz="4"/>
              <w:left w:val="nil" w:sz="4"/>
              <w:bottom w:val="nil" w:sz="4"/>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40%</w:t>
            </w:r>
          </w:p>
        </w:tc>
        <w:tc>
          <w:tcPr>
            <w:cnfStyle w:val="000000100000"/>
            <w:tcW w:w="1200" w:type="dxa"/>
            <w:gridSpan w:val="1"/>
            <w:tcBorders>
              <w:top w:val="nil" w:sz="4"/>
              <w:left w:val="nil" w:sz="4"/>
              <w:bottom w:val="nil" w:sz="4"/>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50%</w:t>
            </w:r>
          </w:p>
        </w:tc>
        <w:tc>
          <w:tcPr>
            <w:cnfStyle w:val="000000100000"/>
            <w:tcW w:w="1200" w:type="dxa"/>
            <w:gridSpan w:val="1"/>
            <w:tcBorders>
              <w:top w:val="nil" w:sz="4"/>
              <w:left w:val="nil" w:sz="4"/>
              <w:bottom w:val="nil" w:sz="4"/>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35%</w:t>
            </w:r>
          </w:p>
        </w:tc>
      </w:tr>
      <w:tr>
        <w:trPr>
          <w:trHeight w:val="270"/>
        </w:trPr>
        <w:tc>
          <w:tcPr>
            <w:cnfStyle w:val="001000010000"/>
            <w:tcW w:w="2940" w:type="dxa"/>
            <w:gridSpan w:val="1"/>
            <w:tcBorders>
              <w:top w:val="nil" w:sz="4"/>
              <w:left w:val="nil" w:sz="4"/>
              <w:bottom w:val="single" w:color="auto" w:sz="8"/>
              <w:right w:val="nil" w:sz="4"/>
            </w:tcBorders>
            <w:shd w:val="clear" w:color="auto" w:fill="auto"/>
            <w:vAlign w:val="bottom"/>
          </w:tcPr>
          <w:p>
            <w:pPr>
              <w:spacing w:after="0" w:line="240" w:lineRule="auto"/>
              <w:rPr>
                <w:rFonts w:cs="Calibri" w:eastAsia="Times New Roman"/>
                <w:color w:val="000000"/>
                <w:sz w:val="20"/>
                <w:lang w:eastAsia="es-NI"/>
              </w:rPr>
            </w:pPr>
            <w:r>
              <w:rPr>
                <w:rFonts w:cs="Calibri" w:eastAsia="Times New Roman"/>
                <w:color w:val="000000"/>
                <w:sz w:val="20"/>
                <w:lang w:eastAsia="es-NI"/>
              </w:rPr>
              <w:t>Rendimiento sobre el capital</w:t>
            </w:r>
          </w:p>
        </w:tc>
        <w:tc>
          <w:tcPr>
            <w:cnfStyle w:val="000000010000"/>
            <w:tcW w:w="1200" w:type="dxa"/>
            <w:gridSpan w:val="1"/>
            <w:tcBorders>
              <w:top w:val="nil" w:sz="4"/>
              <w:left w:val="nil" w:sz="4"/>
              <w:bottom w:val="single" w:color="auto" w:sz="8"/>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12%</w:t>
            </w:r>
          </w:p>
        </w:tc>
        <w:tc>
          <w:tcPr>
            <w:cnfStyle w:val="000000010000"/>
            <w:tcW w:w="1200" w:type="dxa"/>
            <w:gridSpan w:val="1"/>
            <w:tcBorders>
              <w:top w:val="nil" w:sz="4"/>
              <w:left w:val="nil" w:sz="4"/>
              <w:bottom w:val="single" w:color="auto" w:sz="8"/>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15%</w:t>
            </w:r>
          </w:p>
        </w:tc>
        <w:tc>
          <w:tcPr>
            <w:cnfStyle w:val="000000010000"/>
            <w:tcW w:w="1200" w:type="dxa"/>
            <w:gridSpan w:val="1"/>
            <w:tcBorders>
              <w:top w:val="nil" w:sz="4"/>
              <w:left w:val="nil" w:sz="4"/>
              <w:bottom w:val="single" w:color="auto" w:sz="8"/>
              <w:right w:val="nil" w:sz="4"/>
            </w:tcBorders>
            <w:shd w:val="clear" w:color="auto" w:fill="auto"/>
            <w:vAlign w:val="bottom"/>
          </w:tcPr>
          <w:p>
            <w:pPr>
              <w:spacing w:after="0" w:line="240" w:lineRule="auto"/>
              <w:jc w:val="center"/>
              <w:rPr>
                <w:rFonts w:cs="Calibri" w:eastAsia="Times New Roman"/>
                <w:color w:val="000000"/>
                <w:sz w:val="20"/>
                <w:lang w:eastAsia="es-NI"/>
              </w:rPr>
            </w:pPr>
            <w:r>
              <w:rPr>
                <w:rFonts w:cs="Calibri" w:eastAsia="Times New Roman"/>
                <w:color w:val="000000"/>
                <w:sz w:val="20"/>
                <w:lang w:eastAsia="es-NI"/>
              </w:rPr>
              <w:t>10%</w:t>
            </w:r>
          </w:p>
        </w:tc>
      </w:tr>
    </w:tbl>
    <w:p>
      <w:pPr>
        <w:jc w:val="both"/>
        <w:rPr/>
      </w:pPr>
    </w:p>
    <w:p>
      <w:pPr>
        <w:jc w:val="both"/>
        <w:rPr/>
      </w:pPr>
    </w:p>
    <w:p>
      <w:pPr>
        <w:jc w:val="both"/>
        <w:rPr/>
      </w:pPr>
    </w:p>
    <w:p>
      <w:pPr>
        <w:jc w:val="both"/>
        <w:rPr/>
      </w:pPr>
    </w:p>
    <w:p>
      <w:pPr>
        <w:numPr>
          <w:ilvl w:val="0"/>
          <w:numId w:val="3"/>
        </w:numPr>
        <w:spacing w:after="0" w:line="276" w:lineRule="auto"/>
        <w:jc w:val="both"/>
        <w:rPr>
          <w:lang w:val="es-ES"/>
        </w:rPr>
      </w:pPr>
      <w:r>
        <w:rPr>
          <w:lang w:val="es-ES"/>
        </w:rPr>
        <w:t>¿En el 2011, cómo se comportó la liquidez, respecto al 2010 y al promedio industrial?</w:t>
      </w:r>
    </w:p>
    <w:p>
      <w:pPr>
        <w:numPr>
          <w:ilvl w:val="0"/>
          <w:numId w:val="3"/>
        </w:numPr>
        <w:spacing w:after="0" w:line="276" w:lineRule="auto"/>
        <w:jc w:val="both"/>
        <w:rPr>
          <w:lang w:val="es-ES"/>
        </w:rPr>
      </w:pPr>
      <w:r>
        <w:rPr>
          <w:lang w:val="es-ES"/>
        </w:rPr>
        <w:t>¿Qué comentarios tiene sobre el nivel de deuda total del restaurante?</w:t>
      </w:r>
    </w:p>
    <w:p>
      <w:pPr>
        <w:numPr>
          <w:ilvl w:val="0"/>
          <w:numId w:val="3"/>
        </w:numPr>
        <w:spacing w:after="0" w:line="276" w:lineRule="auto"/>
        <w:jc w:val="both"/>
        <w:rPr>
          <w:lang w:val="es-ES"/>
        </w:rPr>
      </w:pPr>
      <w:r>
        <w:rPr>
          <w:lang w:val="es-ES"/>
        </w:rPr>
        <w:t>¿Qué ocurrió con el rendimiento sobre el capital del restaurante y por qué ocurrió eso?</w:t>
      </w:r>
    </w:p>
    <w:p>
      <w:pPr>
        <w:spacing w:after="0" w:line="276" w:lineRule="auto"/>
        <w:jc w:val="both"/>
        <w:rPr>
          <w:lang w:val="es-ES"/>
        </w:rPr>
      </w:pPr>
    </w:p>
    <w:tbl>
      <w:tblPr>
        <w:tblW w:w="9983" w:type="dxa"/>
        <w:jc w:val="center"/>
        <w:tblCellMar>
          <w:left w:w="70" w:type="dxa"/>
          <w:right w:w="70" w:type="dxa"/>
        </w:tblCellMar>
        <w:tblLook w:val="04A0"/>
      </w:tblPr>
      <w:tblGrid>
        <w:gridCol w:w="340"/>
        <w:gridCol w:w="2022"/>
        <w:gridCol w:w="223"/>
        <w:gridCol w:w="1243"/>
        <w:gridCol w:w="1559"/>
        <w:gridCol w:w="146"/>
        <w:gridCol w:w="1477"/>
        <w:gridCol w:w="186"/>
        <w:gridCol w:w="2641"/>
        <w:gridCol w:w="146"/>
      </w:tblGrid>
      <w:tr>
        <w:trPr>
          <w:trHeight w:val="255"/>
          <w:jc w:val="center"/>
        </w:trPr>
        <w:tc>
          <w:tcPr>
            <w:cnfStyle w:val="101000000000"/>
            <w:tcW w:w="340"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3)</w:t>
            </w:r>
          </w:p>
        </w:tc>
        <w:tc>
          <w:tcPr>
            <w:cnfStyle w:val="100000000000"/>
            <w:tcW w:w="9643" w:type="dxa"/>
            <w:gridSpan w:val="9"/>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Una empresa  produce y distribuye bebidas enlatadas a empresas minoristas de la industria de restaurantes. Actualmente la</w:t>
            </w:r>
          </w:p>
        </w:tc>
      </w:tr>
      <w:tr>
        <w:trPr>
          <w:trHeight w:val="255"/>
          <w:jc w:val="center"/>
        </w:trPr>
        <w:tc>
          <w:tcPr>
            <w:cnfStyle w:val="001000100000"/>
            <w:tcW w:w="340"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p>
        </w:tc>
        <w:tc>
          <w:tcPr>
            <w:cnfStyle w:val="000000100000"/>
            <w:tcW w:w="9497" w:type="dxa"/>
            <w:gridSpan w:val="8"/>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empresa</w:t>
            </w:r>
            <w:r>
              <w:rPr>
                <w:rFonts w:ascii="Calibri" w:cs="Times New Roman" w:eastAsia="Times New Roman" w:hAnsi="Calibri"/>
                <w:color w:val="000000"/>
                <w:sz w:val="20"/>
                <w:lang w:eastAsia="es-NI"/>
              </w:rPr>
              <w:t xml:space="preserve"> está estudiando la posib</w:t>
            </w:r>
            <w:r>
              <w:rPr>
                <w:rFonts w:ascii="Calibri" w:cs="Times New Roman" w:eastAsia="Times New Roman" w:hAnsi="Calibri"/>
                <w:color w:val="000000"/>
                <w:sz w:val="20"/>
                <w:lang w:eastAsia="es-NI"/>
              </w:rPr>
              <w:t>i</w:t>
            </w:r>
            <w:r>
              <w:rPr>
                <w:rFonts w:ascii="Calibri" w:cs="Times New Roman" w:eastAsia="Times New Roman" w:hAnsi="Calibri"/>
                <w:color w:val="000000"/>
                <w:sz w:val="20"/>
                <w:lang w:eastAsia="es-NI"/>
              </w:rPr>
              <w:t>lidad de relajar sus normas de crédito como producto de presiones competitivas.</w:t>
            </w: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p>
        </w:tc>
      </w:tr>
      <w:tr>
        <w:trPr>
          <w:trHeight w:val="255"/>
          <w:jc w:val="center"/>
        </w:trPr>
        <w:tc>
          <w:tcPr>
            <w:cnfStyle w:val="00100001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9497" w:type="dxa"/>
            <w:gridSpan w:val="8"/>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El cambio de las políticas de crédito produciría el siguiente efecto en los beneficios y los costos de la empresa:</w:t>
            </w: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p>
        </w:tc>
      </w:tr>
      <w:tr>
        <w:trPr>
          <w:trHeight w:val="255"/>
          <w:jc w:val="center"/>
        </w:trPr>
        <w:tc>
          <w:tcPr>
            <w:cnfStyle w:val="00100010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2022"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223"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243"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559"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477"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8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2641"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r>
      <w:tr>
        <w:trPr>
          <w:trHeight w:val="255"/>
          <w:jc w:val="center"/>
        </w:trPr>
        <w:tc>
          <w:tcPr>
            <w:cnfStyle w:val="00100001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2022"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223"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243"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559"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477"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8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2641"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r>
      <w:tr>
        <w:trPr>
          <w:trHeight w:val="390"/>
          <w:jc w:val="center"/>
        </w:trPr>
        <w:tc>
          <w:tcPr>
            <w:cnfStyle w:val="00100010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5047" w:type="dxa"/>
            <w:gridSpan w:val="4"/>
            <w:tcBorders>
              <w:top w:val="nil" w:sz="4"/>
              <w:left w:val="nil" w:sz="4"/>
              <w:bottom w:val="single" w:color="auto" w:sz="4"/>
              <w:right w:val="nil" w:sz="4"/>
            </w:tcBorders>
            <w:shd w:val="clear" w:color="auto" w:fill="auto"/>
          </w:tcPr>
          <w:p>
            <w:pPr>
              <w:spacing w:after="0" w:line="240" w:lineRule="auto"/>
              <w:jc w:val="center"/>
              <w:rPr>
                <w:rFonts w:ascii="Calibri" w:cs="Times New Roman" w:eastAsia="Times New Roman" w:hAnsi="Calibri"/>
                <w:b/>
                <w:color w:val="000000"/>
                <w:sz w:val="20"/>
                <w:lang w:eastAsia="es-NI"/>
              </w:rPr>
            </w:pPr>
            <w:r>
              <w:rPr>
                <w:rFonts w:ascii="Calibri" w:cs="Times New Roman" w:eastAsia="Times New Roman" w:hAnsi="Calibri"/>
                <w:b/>
                <w:color w:val="000000"/>
                <w:sz w:val="20"/>
                <w:lang w:eastAsia="es-NI"/>
              </w:rPr>
              <w:t>Efecto de la relajación de las Políticas de Crédito</w:t>
            </w: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jc w:val="center"/>
              <w:rPr>
                <w:rFonts w:ascii="Calibri" w:cs="Times New Roman" w:eastAsia="Times New Roman" w:hAnsi="Calibri"/>
                <w:b/>
                <w:color w:val="000000"/>
                <w:sz w:val="20"/>
                <w:lang w:eastAsia="es-NI"/>
              </w:rPr>
            </w:pPr>
          </w:p>
        </w:tc>
        <w:tc>
          <w:tcPr>
            <w:cnfStyle w:val="000000100000"/>
            <w:tcW w:w="4304" w:type="dxa"/>
            <w:gridSpan w:val="3"/>
            <w:tcBorders>
              <w:top w:val="nil" w:sz="4"/>
              <w:left w:val="nil" w:sz="4"/>
              <w:bottom w:val="nil" w:sz="4"/>
              <w:right w:val="nil" w:sz="4"/>
            </w:tcBorders>
            <w:shd w:val="clear" w:color="auto" w:fill="auto"/>
          </w:tcPr>
          <w:p>
            <w:pPr>
              <w:spacing w:after="0" w:line="240" w:lineRule="auto"/>
              <w:jc w:val="center"/>
              <w:rPr>
                <w:rFonts w:ascii="Calibri" w:cs="Times New Roman" w:eastAsia="Times New Roman" w:hAnsi="Calibri"/>
                <w:b/>
                <w:color w:val="000000"/>
                <w:sz w:val="20"/>
                <w:lang w:eastAsia="es-NI"/>
              </w:rPr>
            </w:pPr>
            <w:r>
              <w:rPr>
                <w:rFonts w:ascii="Calibri" w:cs="Times New Roman" w:eastAsia="Times New Roman" w:hAnsi="Calibri"/>
                <w:b/>
                <w:color w:val="000000"/>
                <w:sz w:val="20"/>
                <w:lang w:eastAsia="es-NI"/>
              </w:rPr>
              <w:t>Información de Precios y Costos</w:t>
            </w: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jc w:val="center"/>
              <w:rPr>
                <w:rFonts w:ascii="Calibri" w:cs="Times New Roman" w:eastAsia="Times New Roman" w:hAnsi="Calibri"/>
                <w:b/>
                <w:color w:val="000000"/>
                <w:sz w:val="20"/>
                <w:lang w:eastAsia="es-NI"/>
              </w:rPr>
            </w:pPr>
          </w:p>
        </w:tc>
      </w:tr>
      <w:tr>
        <w:trPr>
          <w:trHeight w:val="270"/>
          <w:jc w:val="center"/>
        </w:trPr>
        <w:tc>
          <w:tcPr>
            <w:cnfStyle w:val="00100001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2022" w:type="dxa"/>
            <w:gridSpan w:val="1"/>
            <w:tcBorders>
              <w:top w:val="nil" w:sz="4"/>
              <w:left w:val="nil" w:sz="4"/>
              <w:bottom w:val="single" w:color="auto" w:sz="8"/>
              <w:right w:val="nil" w:sz="4"/>
            </w:tcBorders>
            <w:shd w:val="clear" w:color="auto" w:fill="auto"/>
            <w:vAlign w:val="bottom"/>
          </w:tcPr>
          <w:p>
            <w:pPr>
              <w:spacing w:after="0" w:line="240" w:lineRule="auto"/>
              <w:rPr>
                <w:rFonts w:ascii="Calibri" w:cs="Times New Roman" w:eastAsia="Times New Roman" w:hAnsi="Calibri"/>
                <w:b/>
                <w:color w:val="000000"/>
                <w:sz w:val="20"/>
                <w:lang w:eastAsia="es-NI"/>
              </w:rPr>
            </w:pPr>
            <w:r>
              <w:rPr>
                <w:rFonts w:ascii="Calibri" w:cs="Times New Roman" w:eastAsia="Times New Roman" w:hAnsi="Calibri"/>
                <w:b/>
                <w:color w:val="000000"/>
                <w:sz w:val="20"/>
                <w:lang w:eastAsia="es-NI"/>
              </w:rPr>
              <w:t>Rubros</w:t>
            </w:r>
          </w:p>
        </w:tc>
        <w:tc>
          <w:tcPr>
            <w:cnfStyle w:val="000000010000"/>
            <w:tcW w:w="223" w:type="dxa"/>
            <w:gridSpan w:val="1"/>
            <w:tcBorders>
              <w:top w:val="nil" w:sz="4"/>
              <w:left w:val="nil" w:sz="4"/>
              <w:bottom w:val="single" w:color="auto" w:sz="8"/>
              <w:right w:val="nil" w:sz="4"/>
            </w:tcBorders>
            <w:shd w:val="clear" w:color="auto" w:fill="auto"/>
            <w:vAlign w:val="bottom"/>
          </w:tcPr>
          <w:p>
            <w:pPr>
              <w:spacing w:after="0" w:line="240" w:lineRule="auto"/>
              <w:rPr>
                <w:rFonts w:ascii="Calibri" w:cs="Times New Roman" w:eastAsia="Times New Roman" w:hAnsi="Calibri"/>
                <w:b/>
                <w:color w:val="000000"/>
                <w:sz w:val="20"/>
                <w:lang w:eastAsia="es-NI"/>
              </w:rPr>
            </w:pPr>
            <w:r>
              <w:rPr>
                <w:rFonts w:ascii="Calibri" w:cs="Times New Roman" w:eastAsia="Times New Roman" w:hAnsi="Calibri"/>
                <w:b/>
                <w:color w:val="000000"/>
                <w:sz w:val="20"/>
                <w:lang w:eastAsia="es-NI"/>
              </w:rPr>
              <w:t> </w:t>
            </w:r>
          </w:p>
        </w:tc>
        <w:tc>
          <w:tcPr>
            <w:cnfStyle w:val="000000010000"/>
            <w:tcW w:w="1243" w:type="dxa"/>
            <w:gridSpan w:val="1"/>
            <w:tcBorders>
              <w:top w:val="nil" w:sz="4"/>
              <w:left w:val="nil" w:sz="4"/>
              <w:bottom w:val="single" w:color="auto" w:sz="8"/>
              <w:right w:val="nil" w:sz="4"/>
            </w:tcBorders>
            <w:shd w:val="clear" w:color="auto" w:fill="auto"/>
            <w:vAlign w:val="bottom"/>
          </w:tcPr>
          <w:p>
            <w:pPr>
              <w:spacing w:after="0" w:line="240" w:lineRule="auto"/>
              <w:jc w:val="center"/>
              <w:rPr>
                <w:rFonts w:ascii="Calibri" w:cs="Times New Roman" w:eastAsia="Times New Roman" w:hAnsi="Calibri"/>
                <w:b/>
                <w:color w:val="000000"/>
                <w:sz w:val="20"/>
                <w:lang w:eastAsia="es-NI"/>
              </w:rPr>
            </w:pPr>
            <w:r>
              <w:rPr>
                <w:rFonts w:ascii="Calibri" w:cs="Times New Roman" w:eastAsia="Times New Roman" w:hAnsi="Calibri"/>
                <w:b/>
                <w:color w:val="000000"/>
                <w:sz w:val="20"/>
                <w:lang w:eastAsia="es-NI"/>
              </w:rPr>
              <w:t>Plan Actual</w:t>
            </w:r>
          </w:p>
        </w:tc>
        <w:tc>
          <w:tcPr>
            <w:cnfStyle w:val="000000010000"/>
            <w:tcW w:w="1559" w:type="dxa"/>
            <w:gridSpan w:val="1"/>
            <w:tcBorders>
              <w:top w:val="nil" w:sz="4"/>
              <w:left w:val="nil" w:sz="4"/>
              <w:bottom w:val="single" w:color="auto" w:sz="8"/>
              <w:right w:val="nil" w:sz="4"/>
            </w:tcBorders>
            <w:shd w:val="clear" w:color="auto" w:fill="auto"/>
            <w:vAlign w:val="bottom"/>
          </w:tcPr>
          <w:p>
            <w:pPr>
              <w:spacing w:after="0" w:line="240" w:lineRule="auto"/>
              <w:jc w:val="center"/>
              <w:rPr>
                <w:rFonts w:ascii="Calibri" w:cs="Times New Roman" w:eastAsia="Times New Roman" w:hAnsi="Calibri"/>
                <w:b/>
                <w:color w:val="000000"/>
                <w:sz w:val="20"/>
                <w:lang w:eastAsia="es-NI"/>
              </w:rPr>
            </w:pPr>
            <w:r>
              <w:rPr>
                <w:rFonts w:ascii="Calibri" w:cs="Times New Roman" w:eastAsia="Times New Roman" w:hAnsi="Calibri"/>
                <w:b/>
                <w:color w:val="000000"/>
                <w:sz w:val="20"/>
                <w:lang w:eastAsia="es-NI"/>
              </w:rPr>
              <w:t>Plan Nuevo</w:t>
            </w: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jc w:val="center"/>
              <w:rPr>
                <w:rFonts w:ascii="Calibri" w:cs="Times New Roman" w:eastAsia="Times New Roman" w:hAnsi="Calibri"/>
                <w:b/>
                <w:color w:val="000000"/>
                <w:sz w:val="20"/>
                <w:lang w:eastAsia="es-NI"/>
              </w:rPr>
            </w:pPr>
          </w:p>
        </w:tc>
        <w:tc>
          <w:tcPr>
            <w:cnfStyle w:val="000000010000"/>
            <w:tcW w:w="1477" w:type="dxa"/>
            <w:gridSpan w:val="1"/>
            <w:tcBorders>
              <w:top w:val="single" w:color="auto" w:sz="4"/>
              <w:left w:val="nil" w:sz="4"/>
              <w:bottom w:val="single" w:color="auto" w:sz="8"/>
              <w:right w:val="nil" w:sz="4"/>
            </w:tcBorders>
            <w:shd w:val="clear" w:color="auto" w:fill="auto"/>
            <w:vAlign w:val="bottom"/>
          </w:tcPr>
          <w:p>
            <w:pPr>
              <w:spacing w:after="0" w:line="240" w:lineRule="auto"/>
              <w:rPr>
                <w:rFonts w:ascii="Calibri" w:cs="Times New Roman" w:eastAsia="Times New Roman" w:hAnsi="Calibri"/>
                <w:b/>
                <w:color w:val="000000"/>
                <w:sz w:val="20"/>
                <w:lang w:eastAsia="es-NI"/>
              </w:rPr>
            </w:pPr>
            <w:r>
              <w:rPr>
                <w:rFonts w:ascii="Calibri" w:cs="Times New Roman" w:eastAsia="Times New Roman" w:hAnsi="Calibri"/>
                <w:b/>
                <w:color w:val="000000"/>
                <w:sz w:val="20"/>
                <w:lang w:eastAsia="es-NI"/>
              </w:rPr>
              <w:t>Rubros</w:t>
            </w:r>
          </w:p>
        </w:tc>
        <w:tc>
          <w:tcPr>
            <w:cnfStyle w:val="000000010000"/>
            <w:tcW w:w="186" w:type="dxa"/>
            <w:gridSpan w:val="1"/>
            <w:tcBorders>
              <w:top w:val="single" w:color="auto" w:sz="4"/>
              <w:left w:val="nil" w:sz="4"/>
              <w:bottom w:val="single" w:color="auto" w:sz="8"/>
              <w:right w:val="nil" w:sz="4"/>
            </w:tcBorders>
            <w:shd w:val="clear" w:color="auto" w:fill="auto"/>
            <w:vAlign w:val="bottom"/>
          </w:tcPr>
          <w:p>
            <w:pPr>
              <w:spacing w:after="0" w:line="240" w:lineRule="auto"/>
              <w:rPr>
                <w:rFonts w:ascii="Calibri" w:cs="Times New Roman" w:eastAsia="Times New Roman" w:hAnsi="Calibri"/>
                <w:b/>
                <w:color w:val="000000"/>
                <w:sz w:val="20"/>
                <w:lang w:eastAsia="es-NI"/>
              </w:rPr>
            </w:pPr>
            <w:r>
              <w:rPr>
                <w:rFonts w:ascii="Calibri" w:cs="Times New Roman" w:eastAsia="Times New Roman" w:hAnsi="Calibri"/>
                <w:b/>
                <w:color w:val="000000"/>
                <w:sz w:val="20"/>
                <w:lang w:eastAsia="es-NI"/>
              </w:rPr>
              <w:t> </w:t>
            </w:r>
          </w:p>
        </w:tc>
        <w:tc>
          <w:tcPr>
            <w:cnfStyle w:val="000000010000"/>
            <w:tcW w:w="2641" w:type="dxa"/>
            <w:gridSpan w:val="1"/>
            <w:tcBorders>
              <w:top w:val="single" w:color="auto" w:sz="4"/>
              <w:left w:val="nil" w:sz="4"/>
              <w:bottom w:val="single" w:color="auto" w:sz="8"/>
              <w:right w:val="nil" w:sz="4"/>
            </w:tcBorders>
            <w:shd w:val="clear" w:color="auto" w:fill="auto"/>
            <w:vAlign w:val="bottom"/>
          </w:tcPr>
          <w:p>
            <w:pPr>
              <w:spacing w:after="0" w:line="240" w:lineRule="auto"/>
              <w:jc w:val="center"/>
              <w:rPr>
                <w:rFonts w:ascii="Calibri" w:cs="Times New Roman" w:eastAsia="Times New Roman" w:hAnsi="Calibri"/>
                <w:b/>
                <w:color w:val="000000"/>
                <w:sz w:val="20"/>
                <w:lang w:eastAsia="es-NI"/>
              </w:rPr>
            </w:pPr>
            <w:r>
              <w:rPr>
                <w:rFonts w:ascii="Calibri" w:cs="Times New Roman" w:eastAsia="Times New Roman" w:hAnsi="Calibri"/>
                <w:b/>
                <w:color w:val="000000"/>
                <w:sz w:val="20"/>
                <w:lang w:eastAsia="es-NI"/>
              </w:rPr>
              <w:t>Valor</w:t>
            </w: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jc w:val="center"/>
              <w:rPr>
                <w:rFonts w:ascii="Calibri" w:cs="Times New Roman" w:eastAsia="Times New Roman" w:hAnsi="Calibri"/>
                <w:b/>
                <w:color w:val="000000"/>
                <w:sz w:val="20"/>
                <w:lang w:eastAsia="es-NI"/>
              </w:rPr>
            </w:pPr>
          </w:p>
        </w:tc>
      </w:tr>
      <w:tr>
        <w:trPr>
          <w:trHeight w:val="255"/>
          <w:jc w:val="center"/>
        </w:trPr>
        <w:tc>
          <w:tcPr>
            <w:cnfStyle w:val="00100010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2245" w:type="dxa"/>
            <w:gridSpan w:val="2"/>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Ventas (Unidades)</w:t>
            </w:r>
          </w:p>
        </w:tc>
        <w:tc>
          <w:tcPr>
            <w:cnfStyle w:val="000000100000"/>
            <w:tcW w:w="1243" w:type="dxa"/>
            <w:gridSpan w:val="1"/>
            <w:tcBorders>
              <w:top w:val="nil" w:sz="4"/>
              <w:left w:val="nil" w:sz="4"/>
              <w:bottom w:val="nil" w:sz="4"/>
              <w:right w:val="nil" w:sz="4"/>
            </w:tcBorders>
            <w:shd w:val="clear" w:color="auto" w:fill="auto"/>
            <w:vAlign w:val="bottom"/>
          </w:tcPr>
          <w:p>
            <w:pPr>
              <w:spacing w:after="0" w:line="240" w:lineRule="auto"/>
              <w:jc w:val="right"/>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30,000</w:t>
            </w:r>
          </w:p>
        </w:tc>
        <w:tc>
          <w:tcPr>
            <w:cnfStyle w:val="000000100000"/>
            <w:tcW w:w="1559" w:type="dxa"/>
            <w:gridSpan w:val="1"/>
            <w:tcBorders>
              <w:top w:val="nil" w:sz="4"/>
              <w:left w:val="nil" w:sz="4"/>
              <w:bottom w:val="nil" w:sz="4"/>
              <w:right w:val="nil" w:sz="4"/>
            </w:tcBorders>
            <w:shd w:val="clear" w:color="auto" w:fill="auto"/>
            <w:vAlign w:val="bottom"/>
          </w:tcPr>
          <w:p>
            <w:pPr>
              <w:spacing w:after="0" w:line="240" w:lineRule="auto"/>
              <w:jc w:val="right"/>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42,000</w:t>
            </w: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jc w:val="right"/>
              <w:rPr>
                <w:rFonts w:ascii="Calibri" w:cs="Times New Roman" w:eastAsia="Times New Roman" w:hAnsi="Calibri"/>
                <w:color w:val="000000"/>
                <w:sz w:val="20"/>
                <w:lang w:eastAsia="es-NI"/>
              </w:rPr>
            </w:pPr>
          </w:p>
        </w:tc>
        <w:tc>
          <w:tcPr>
            <w:cnfStyle w:val="000000100000"/>
            <w:tcW w:w="1477"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Precio</w:t>
            </w:r>
          </w:p>
        </w:tc>
        <w:tc>
          <w:tcPr>
            <w:cnfStyle w:val="000000100000"/>
            <w:tcW w:w="186"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p>
        </w:tc>
        <w:tc>
          <w:tcPr>
            <w:cnfStyle w:val="000000100000"/>
            <w:tcW w:w="2641"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 xml:space="preserve"> C$        15.00 </w:t>
            </w: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p>
        </w:tc>
      </w:tr>
      <w:tr>
        <w:trPr>
          <w:trHeight w:val="255"/>
          <w:jc w:val="center"/>
        </w:trPr>
        <w:tc>
          <w:tcPr>
            <w:cnfStyle w:val="00100001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2245" w:type="dxa"/>
            <w:gridSpan w:val="2"/>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Período promedio cobro</w:t>
            </w:r>
          </w:p>
        </w:tc>
        <w:tc>
          <w:tcPr>
            <w:cnfStyle w:val="000000010000"/>
            <w:tcW w:w="1243" w:type="dxa"/>
            <w:gridSpan w:val="1"/>
            <w:tcBorders>
              <w:top w:val="nil" w:sz="4"/>
              <w:left w:val="nil" w:sz="4"/>
              <w:bottom w:val="nil" w:sz="4"/>
              <w:right w:val="nil" w:sz="4"/>
            </w:tcBorders>
            <w:shd w:val="clear" w:color="auto" w:fill="auto"/>
            <w:vAlign w:val="bottom"/>
          </w:tcPr>
          <w:p>
            <w:pPr>
              <w:spacing w:after="0" w:line="240" w:lineRule="auto"/>
              <w:jc w:val="right"/>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35 días</w:t>
            </w:r>
          </w:p>
        </w:tc>
        <w:tc>
          <w:tcPr>
            <w:cnfStyle w:val="000000010000"/>
            <w:tcW w:w="1559" w:type="dxa"/>
            <w:gridSpan w:val="1"/>
            <w:tcBorders>
              <w:top w:val="nil" w:sz="4"/>
              <w:left w:val="nil" w:sz="4"/>
              <w:bottom w:val="nil" w:sz="4"/>
              <w:right w:val="nil" w:sz="4"/>
            </w:tcBorders>
            <w:shd w:val="clear" w:color="auto" w:fill="auto"/>
            <w:vAlign w:val="bottom"/>
          </w:tcPr>
          <w:p>
            <w:pPr>
              <w:spacing w:after="0" w:line="240" w:lineRule="auto"/>
              <w:jc w:val="right"/>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45 días</w:t>
            </w: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jc w:val="right"/>
              <w:rPr>
                <w:rFonts w:ascii="Calibri" w:cs="Times New Roman" w:eastAsia="Times New Roman" w:hAnsi="Calibri"/>
                <w:color w:val="000000"/>
                <w:sz w:val="20"/>
                <w:lang w:eastAsia="es-NI"/>
              </w:rPr>
            </w:pPr>
          </w:p>
        </w:tc>
        <w:tc>
          <w:tcPr>
            <w:cnfStyle w:val="000000010000"/>
            <w:tcW w:w="1663" w:type="dxa"/>
            <w:gridSpan w:val="2"/>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Costo Variable</w:t>
            </w:r>
          </w:p>
        </w:tc>
        <w:tc>
          <w:tcPr>
            <w:cnfStyle w:val="000000010000"/>
            <w:tcW w:w="2641"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 xml:space="preserve"> C$          9.00 </w:t>
            </w: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p>
        </w:tc>
      </w:tr>
      <w:tr>
        <w:trPr>
          <w:trHeight w:val="270"/>
          <w:jc w:val="center"/>
        </w:trPr>
        <w:tc>
          <w:tcPr>
            <w:cnfStyle w:val="00100010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2245" w:type="dxa"/>
            <w:gridSpan w:val="2"/>
            <w:tcBorders>
              <w:top w:val="nil" w:sz="4"/>
              <w:left w:val="nil" w:sz="4"/>
              <w:bottom w:val="single" w:color="auto" w:sz="8"/>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Cuentas incobrables</w:t>
            </w:r>
          </w:p>
        </w:tc>
        <w:tc>
          <w:tcPr>
            <w:cnfStyle w:val="000000100000"/>
            <w:tcW w:w="1243" w:type="dxa"/>
            <w:gridSpan w:val="1"/>
            <w:tcBorders>
              <w:top w:val="nil" w:sz="4"/>
              <w:left w:val="nil" w:sz="4"/>
              <w:bottom w:val="single" w:color="auto" w:sz="8"/>
              <w:right w:val="nil" w:sz="4"/>
            </w:tcBorders>
            <w:shd w:val="clear" w:color="auto" w:fill="auto"/>
            <w:vAlign w:val="bottom"/>
          </w:tcPr>
          <w:p>
            <w:pPr>
              <w:spacing w:after="0" w:line="240" w:lineRule="auto"/>
              <w:jc w:val="center"/>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1%</w:t>
            </w:r>
          </w:p>
        </w:tc>
        <w:tc>
          <w:tcPr>
            <w:cnfStyle w:val="000000100000"/>
            <w:tcW w:w="1559" w:type="dxa"/>
            <w:gridSpan w:val="1"/>
            <w:tcBorders>
              <w:top w:val="nil" w:sz="4"/>
              <w:left w:val="nil" w:sz="4"/>
              <w:bottom w:val="single" w:color="auto" w:sz="8"/>
              <w:right w:val="nil" w:sz="4"/>
            </w:tcBorders>
            <w:shd w:val="clear" w:color="auto" w:fill="auto"/>
            <w:vAlign w:val="bottom"/>
          </w:tcPr>
          <w:p>
            <w:pPr>
              <w:spacing w:after="0" w:line="240" w:lineRule="auto"/>
              <w:jc w:val="center"/>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2%</w:t>
            </w: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jc w:val="center"/>
              <w:rPr>
                <w:rFonts w:ascii="Calibri" w:cs="Times New Roman" w:eastAsia="Times New Roman" w:hAnsi="Calibri"/>
                <w:color w:val="000000"/>
                <w:sz w:val="20"/>
                <w:lang w:eastAsia="es-NI"/>
              </w:rPr>
            </w:pPr>
          </w:p>
        </w:tc>
        <w:tc>
          <w:tcPr>
            <w:cnfStyle w:val="000000100000"/>
            <w:tcW w:w="1663" w:type="dxa"/>
            <w:gridSpan w:val="2"/>
            <w:tcBorders>
              <w:top w:val="nil" w:sz="4"/>
              <w:left w:val="nil" w:sz="4"/>
              <w:bottom w:val="single" w:color="auto" w:sz="8"/>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Costo Oportunidad</w:t>
            </w:r>
          </w:p>
        </w:tc>
        <w:tc>
          <w:tcPr>
            <w:cnfStyle w:val="000000100000"/>
            <w:tcW w:w="2641" w:type="dxa"/>
            <w:gridSpan w:val="1"/>
            <w:tcBorders>
              <w:top w:val="nil" w:sz="4"/>
              <w:left w:val="nil" w:sz="4"/>
              <w:bottom w:val="single" w:color="auto" w:sz="8"/>
              <w:right w:val="nil" w:sz="4"/>
            </w:tcBorders>
            <w:shd w:val="clear" w:color="auto" w:fill="auto"/>
            <w:vAlign w:val="bottom"/>
          </w:tcPr>
          <w:p>
            <w:pPr>
              <w:spacing w:after="0" w:line="240" w:lineRule="auto"/>
              <w:jc w:val="right"/>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15%</w:t>
            </w: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jc w:val="right"/>
              <w:rPr>
                <w:rFonts w:ascii="Calibri" w:cs="Times New Roman" w:eastAsia="Times New Roman" w:hAnsi="Calibri"/>
                <w:color w:val="000000"/>
                <w:sz w:val="20"/>
                <w:lang w:eastAsia="es-NI"/>
              </w:rPr>
            </w:pPr>
          </w:p>
        </w:tc>
      </w:tr>
      <w:tr>
        <w:trPr>
          <w:trHeight w:val="255"/>
          <w:jc w:val="center"/>
        </w:trPr>
        <w:tc>
          <w:tcPr>
            <w:cnfStyle w:val="00100001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2022"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223"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243"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559"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477"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8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2641"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r>
      <w:tr>
        <w:trPr>
          <w:trHeight w:val="255"/>
          <w:jc w:val="center"/>
        </w:trPr>
        <w:tc>
          <w:tcPr>
            <w:cnfStyle w:val="00100010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2022"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223"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243"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559"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477"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8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2641"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100000"/>
            <w:tcW w:w="14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r>
      <w:tr>
        <w:trPr>
          <w:trHeight w:val="255"/>
          <w:jc w:val="center"/>
        </w:trPr>
        <w:tc>
          <w:tcPr>
            <w:cnfStyle w:val="001000010000"/>
            <w:tcW w:w="340"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5193" w:type="dxa"/>
            <w:gridSpan w:val="5"/>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r>
              <w:rPr>
                <w:rFonts w:ascii="Calibri" w:cs="Times New Roman" w:eastAsia="Times New Roman" w:hAnsi="Calibri"/>
                <w:color w:val="000000"/>
                <w:sz w:val="20"/>
                <w:lang w:eastAsia="es-NI"/>
              </w:rPr>
              <w:t>Determine si la empresa debe relajar o no sus políticas de crédito.</w:t>
            </w:r>
          </w:p>
        </w:tc>
        <w:tc>
          <w:tcPr>
            <w:cnfStyle w:val="000000010000"/>
            <w:tcW w:w="1477" w:type="dxa"/>
            <w:gridSpan w:val="1"/>
            <w:tcBorders>
              <w:top w:val="nil" w:sz="4"/>
              <w:left w:val="nil" w:sz="4"/>
              <w:bottom w:val="nil" w:sz="4"/>
              <w:right w:val="nil" w:sz="4"/>
            </w:tcBorders>
            <w:shd w:val="clear" w:color="auto" w:fill="auto"/>
            <w:vAlign w:val="bottom"/>
          </w:tcPr>
          <w:p>
            <w:pPr>
              <w:spacing w:after="0" w:line="240" w:lineRule="auto"/>
              <w:rPr>
                <w:rFonts w:ascii="Calibri" w:cs="Times New Roman" w:eastAsia="Times New Roman" w:hAnsi="Calibri"/>
                <w:color w:val="000000"/>
                <w:sz w:val="20"/>
                <w:lang w:eastAsia="es-NI"/>
              </w:rPr>
            </w:pPr>
          </w:p>
        </w:tc>
        <w:tc>
          <w:tcPr>
            <w:cnfStyle w:val="000000010000"/>
            <w:tcW w:w="18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2641"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c>
          <w:tcPr>
            <w:cnfStyle w:val="000000010000"/>
            <w:tcW w:w="146" w:type="dxa"/>
            <w:gridSpan w:val="1"/>
            <w:tcBorders>
              <w:top w:val="nil" w:sz="4"/>
              <w:left w:val="nil" w:sz="4"/>
              <w:bottom w:val="nil" w:sz="4"/>
              <w:right w:val="nil" w:sz="4"/>
            </w:tcBorders>
            <w:shd w:val="clear" w:color="auto" w:fill="auto"/>
            <w:vAlign w:val="bottom"/>
          </w:tcPr>
          <w:p>
            <w:pPr>
              <w:spacing w:after="0" w:line="240" w:lineRule="auto"/>
              <w:rPr>
                <w:rFonts w:ascii="Times New Roman" w:cs="Times New Roman" w:eastAsia="Times New Roman" w:hAnsi="Times New Roman"/>
                <w:sz w:val="20"/>
                <w:lang w:eastAsia="es-NI"/>
              </w:rPr>
            </w:pPr>
          </w:p>
        </w:tc>
      </w:tr>
    </w:tbl>
    <w:p>
      <w:pPr>
        <w:jc w:val="both"/>
        <w:rPr/>
      </w:pPr>
    </w:p>
    <w:p>
      <w:pPr>
        <w:pStyle w:val="ListParagraph"/>
        <w:numPr>
          <w:ilvl w:val="0"/>
          <w:numId w:val="3"/>
        </w:numPr>
        <w:spacing w:after="240" w:line="240" w:lineRule="auto"/>
        <w:rPr/>
      </w:pPr>
      <w:r>
        <w:t>Aplicaciones del Modelo de la Cantidad Económica de Pedido.</w:t>
      </w:r>
    </w:p>
    <w:p>
      <w:pPr>
        <w:numPr>
          <w:ilvl w:val="0"/>
          <w:numId w:val="6"/>
        </w:numPr>
        <w:spacing w:after="240" w:line="240" w:lineRule="auto"/>
        <w:jc w:val="both"/>
        <w:rPr/>
      </w:pPr>
      <w:r>
        <w:t xml:space="preserve">Una tienda de calzado </w:t>
      </w:r>
      <w:r>
        <w:t>esta</w:t>
      </w:r>
      <w:r>
        <w:t xml:space="preserve"> interesada en emplear un sistema de administración de inventario que le ayude a reducir los costos de su manejo. Actualmente las ventas anuales de la tienda andan alrededor de 3,600 pares de zapatos. La propietaria de la tienda ha estimado que gasta aproximadamente C$ 15.00  cada vez que hace un pedido. Los costos de almacenaje del inventario se han estimado en C$ 3.50 por cada par de zapatos en un año. Actualmente la tienda realiza pedidos mensuales de 300 pares en cada orden. El proveedor demora usualmente 10 días entre la recepción del pedido y el envío del mismo a las instalaciones de la tienda.</w:t>
      </w:r>
    </w:p>
    <w:p>
      <w:pPr>
        <w:numPr>
          <w:ilvl w:val="0"/>
          <w:numId w:val="5"/>
        </w:numPr>
        <w:spacing w:after="0" w:line="240" w:lineRule="auto"/>
        <w:jc w:val="both"/>
        <w:rPr/>
      </w:pPr>
      <w:r>
        <w:t>¿Cuánto gasta la tienda anualmente en la administración de su inventario?</w:t>
      </w:r>
    </w:p>
    <w:p>
      <w:pPr>
        <w:numPr>
          <w:ilvl w:val="0"/>
          <w:numId w:val="5"/>
        </w:numPr>
        <w:spacing w:after="240" w:line="240" w:lineRule="auto"/>
        <w:jc w:val="both"/>
        <w:rPr/>
      </w:pPr>
      <w:r>
        <w:t>¿Cuánto gastaría la tienda anualmente en la administración de su inventario si utilizara el modelo CEP?</w:t>
      </w:r>
    </w:p>
    <w:p>
      <w:pPr>
        <w:numPr>
          <w:ilvl w:val="0"/>
          <w:numId w:val="6"/>
        </w:numPr>
        <w:spacing w:after="240" w:line="240" w:lineRule="auto"/>
        <w:jc w:val="both"/>
        <w:rPr/>
      </w:pPr>
      <w:r>
        <w:t>En el ejercicio anterior encuentre el nivel mínimo hasta el cual pueden caer los inventarios para realizar un nuevo pedido. Considere que la tienda utiliza un inventario de seguridad de 3 días de ventas.</w:t>
      </w:r>
    </w:p>
    <w:p>
      <w:pPr>
        <w:numPr>
          <w:ilvl w:val="0"/>
          <w:numId w:val="6"/>
        </w:numPr>
        <w:spacing w:after="0" w:line="240" w:lineRule="auto"/>
        <w:jc w:val="both"/>
        <w:rPr/>
      </w:pPr>
      <w:r>
        <w:t>Un taller de carpintería vende muebles a tiendas minoristas de su localidad. El insumo más importante que utiliza el taller es la madera, la cual es vendida por pulgada. Recientemente los proveedores le han fijado un precio de C$ 90.00 la pulgada de madera. Para elaborar un mueble típico, el taller utiliza aproximadamente 72 pulgadas. En promedio el taller recibe pedidos por una cantidad de 24,000 muebles anuales. En los últimos meses se ha registrado una mayor regulación por parte de las instituciones protectoras del medio ambiente y eso de alguna manera dificulta el abastecimiento de madera para el taller. Por lo cual se ha tomado la decisión de realizar dos pedidos en el año, uno cada seis meses. En cada pedido ordena la cantidad de 24,000 metros cuadrados de madera. Se ha estimado que el taller gasta C$ 300.00 en cada pedido e invierte C$ 280.00 por metro cuadrado por año en gastos de almacenaje y mantenimiento.</w:t>
      </w:r>
    </w:p>
    <w:p>
      <w:pPr>
        <w:jc w:val="both"/>
        <w:rPr/>
      </w:pPr>
      <w:r>
        <w:t>Aplicando el Modelo CEP para la administración de sus inventarios, ¿cómo asesoraría usted a la administración de este taller?</w:t>
      </w:r>
    </w:p>
    <w:p>
      <w:pPr>
        <w:jc w:val="both"/>
        <w:rPr/>
      </w:pPr>
      <w:bookmarkStart w:id="0" w:name="_GoBack"/>
      <w:bookmarkEnd w:id="0"/>
      <w:r>
        <w:t>5</w:t>
      </w:r>
      <w:r>
        <w:t>. Para los siguientes proyectos calcule el PRI, VPN, TIR y R B/C. Indique cuál es mejor.</w:t>
      </w:r>
    </w:p>
    <w:p>
      <w:pPr>
        <w:jc w:val="both"/>
        <w:rPr/>
      </w:pPr>
    </w:p>
    <w:tbl>
      <w:tblPr>
        <w:tblStyle w:val="TableGrid"/>
      </w:tblPr>
      <w:tblGrid>
        <w:gridCol w:w="1853"/>
        <w:gridCol w:w="1853"/>
        <w:gridCol w:w="1853"/>
        <w:gridCol w:w="1853"/>
        <w:gridCol w:w="1853"/>
      </w:tblGrid>
      <w:tr>
        <w:trPr/>
        <w:tc>
          <w:tcPr>
            <w:tcW w:w="1853" w:type="dxa"/>
            <w:gridSpan w:val="1"/>
          </w:tcPr>
          <w:p>
            <w:pPr>
              <w:jc w:val="both"/>
              <w:rPr/>
            </w:pPr>
            <w:r>
              <w:t>Proyecto/tiempo</w:t>
            </w:r>
          </w:p>
        </w:tc>
        <w:tc>
          <w:tcPr>
            <w:tcW w:w="1853" w:type="dxa"/>
            <w:gridSpan w:val="1"/>
          </w:tcPr>
          <w:p>
            <w:pPr>
              <w:jc w:val="center"/>
              <w:rPr/>
            </w:pPr>
            <w:r>
              <w:t>0</w:t>
            </w:r>
          </w:p>
        </w:tc>
        <w:tc>
          <w:tcPr>
            <w:tcW w:w="1853" w:type="dxa"/>
            <w:gridSpan w:val="1"/>
          </w:tcPr>
          <w:p>
            <w:pPr>
              <w:jc w:val="center"/>
              <w:rPr/>
            </w:pPr>
            <w:r>
              <w:t>1</w:t>
            </w:r>
          </w:p>
        </w:tc>
        <w:tc>
          <w:tcPr>
            <w:tcW w:w="1853" w:type="dxa"/>
            <w:gridSpan w:val="1"/>
          </w:tcPr>
          <w:p>
            <w:pPr>
              <w:jc w:val="center"/>
              <w:rPr/>
            </w:pPr>
            <w:r>
              <w:t>2</w:t>
            </w:r>
          </w:p>
        </w:tc>
        <w:tc>
          <w:tcPr>
            <w:tcW w:w="1853" w:type="dxa"/>
            <w:gridSpan w:val="1"/>
          </w:tcPr>
          <w:p>
            <w:pPr>
              <w:jc w:val="center"/>
              <w:rPr/>
            </w:pPr>
            <w:r>
              <w:t>3</w:t>
            </w:r>
          </w:p>
        </w:tc>
      </w:tr>
      <w:tr>
        <w:trPr/>
        <w:tc>
          <w:tcPr>
            <w:tcW w:w="1853" w:type="dxa"/>
            <w:gridSpan w:val="1"/>
          </w:tcPr>
          <w:p>
            <w:pPr>
              <w:jc w:val="both"/>
              <w:rPr/>
            </w:pPr>
            <w:r>
              <w:t>A</w:t>
            </w:r>
          </w:p>
        </w:tc>
        <w:tc>
          <w:tcPr>
            <w:tcW w:w="1853" w:type="dxa"/>
            <w:gridSpan w:val="1"/>
          </w:tcPr>
          <w:p>
            <w:pPr>
              <w:jc w:val="right"/>
              <w:rPr/>
            </w:pPr>
            <w:r>
              <w:t>-2,000.00</w:t>
            </w:r>
          </w:p>
        </w:tc>
        <w:tc>
          <w:tcPr>
            <w:tcW w:w="1853" w:type="dxa"/>
            <w:gridSpan w:val="1"/>
          </w:tcPr>
          <w:p>
            <w:pPr>
              <w:jc w:val="right"/>
              <w:rPr/>
            </w:pPr>
            <w:r>
              <w:t>800.00</w:t>
            </w:r>
          </w:p>
        </w:tc>
        <w:tc>
          <w:tcPr>
            <w:tcW w:w="1853" w:type="dxa"/>
            <w:gridSpan w:val="1"/>
          </w:tcPr>
          <w:p>
            <w:pPr>
              <w:jc w:val="right"/>
              <w:rPr/>
            </w:pPr>
            <w:r>
              <w:t>1,000.00</w:t>
            </w:r>
          </w:p>
        </w:tc>
        <w:tc>
          <w:tcPr>
            <w:tcW w:w="1853" w:type="dxa"/>
            <w:gridSpan w:val="1"/>
          </w:tcPr>
          <w:p>
            <w:pPr>
              <w:jc w:val="right"/>
              <w:rPr/>
            </w:pPr>
            <w:r>
              <w:t>1,500.00</w:t>
            </w:r>
          </w:p>
        </w:tc>
      </w:tr>
      <w:tr>
        <w:trPr/>
        <w:tc>
          <w:tcPr>
            <w:tcW w:w="1853" w:type="dxa"/>
            <w:gridSpan w:val="1"/>
          </w:tcPr>
          <w:p>
            <w:pPr>
              <w:jc w:val="both"/>
              <w:rPr/>
            </w:pPr>
            <w:r>
              <w:t>B</w:t>
            </w:r>
          </w:p>
        </w:tc>
        <w:tc>
          <w:tcPr>
            <w:tcW w:w="1853" w:type="dxa"/>
            <w:gridSpan w:val="1"/>
          </w:tcPr>
          <w:p>
            <w:pPr>
              <w:jc w:val="right"/>
              <w:rPr/>
            </w:pPr>
            <w:r>
              <w:t>-2,000.00</w:t>
            </w:r>
          </w:p>
        </w:tc>
        <w:tc>
          <w:tcPr>
            <w:tcW w:w="1853" w:type="dxa"/>
            <w:gridSpan w:val="1"/>
          </w:tcPr>
          <w:p>
            <w:pPr>
              <w:jc w:val="right"/>
              <w:rPr/>
            </w:pPr>
            <w:r>
              <w:t>1,000.00</w:t>
            </w:r>
          </w:p>
        </w:tc>
        <w:tc>
          <w:tcPr>
            <w:tcW w:w="1853" w:type="dxa"/>
            <w:gridSpan w:val="1"/>
          </w:tcPr>
          <w:p>
            <w:pPr>
              <w:jc w:val="right"/>
              <w:rPr/>
            </w:pPr>
            <w:r>
              <w:t>1,000.00</w:t>
            </w:r>
          </w:p>
        </w:tc>
        <w:tc>
          <w:tcPr>
            <w:tcW w:w="1853" w:type="dxa"/>
            <w:gridSpan w:val="1"/>
          </w:tcPr>
          <w:p>
            <w:pPr>
              <w:jc w:val="right"/>
              <w:rPr/>
            </w:pPr>
            <w:r>
              <w:t>1,000.00</w:t>
            </w:r>
          </w:p>
        </w:tc>
      </w:tr>
    </w:tbl>
    <w:p>
      <w:pPr>
        <w:jc w:val="both"/>
        <w:rPr/>
      </w:pPr>
      <w:r>
        <w:t xml:space="preserve">Suponga un costo de capital del 10% para ambos proyectos. </w:t>
      </w:r>
    </w:p>
    <w:sectPr>
      <w:pgSz w:w="12240" w:h="15840"/>
      <w:pgMar w:top="1417" w:right="1701" w:bottom="851" w:left="1701"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family w:val="variable"/>
    <w:sig w:usb0="e0002aff" w:usb1="c0007843" w:usb2="00000009" w:usb3="00000000" w:csb0="000001ff" w:csb1="00000000"/>
  </w:font>
  <w:font w:name="Symbol">
    <w:panose1 w:val="05050102010706020507"/>
    <w:charset w:val="02"/>
    <w:family w:val="roman"/>
    <w:family w:val="variable"/>
    <w:sig w:usb0="00000000" w:usb1="10000000" w:usb2="00000000" w:usb3="00000000" w:csb0="80000000" w:csb1="00000000"/>
  </w:font>
  <w:font w:name="Courier New">
    <w:panose1 w:val="02070309020205020404"/>
    <w:charset w:val="00"/>
    <w:family w:val="modern"/>
    <w:family w:val="fixed"/>
    <w:sig w:usb0="e0002aff" w:usb1="c0007843" w:usb2="00000009" w:usb3="00000000" w:csb0="000001ff" w:csb1="00000000"/>
  </w:font>
  <w:font w:name="Wingdings">
    <w:panose1 w:val="05000000000000000000"/>
    <w:charset w:val="02"/>
    <w:family w:val="auto"/>
    <w:family w:val="variable"/>
    <w:sig w:usb0="00000000" w:usb1="10000000" w:usb2="00000000" w:usb3="00000000" w:csb0="80000000" w:csb1="00000000"/>
  </w:font>
  <w:font w:name="Calibri">
    <w:panose1 w:val="020f0502020204030204"/>
    <w:charset w:val="00"/>
    <w:family w:val="swiss"/>
    <w:family w:val="variable"/>
    <w:sig w:usb0="e00002ff" w:usb1="4000acff" w:usb2="00000001" w:usb3="00000000" w:csb0="0000019f" w:csb1="00000000"/>
  </w:font>
  <w:font w:name="Calibri Light">
    <w:panose1 w:val="020f0302020204030204"/>
    <w:charset w:val="00"/>
    <w:family w:val="swiss"/>
    <w:family w:val="variable"/>
    <w:sig w:usb0="a00002ef" w:usb1="4000207b" w:usb2="00000000" w:usb3="00000000" w:csb0="0000019f" w:csb1="00000000"/>
  </w:font>
  <w:font w:name="Arial">
    <w:panose1 w:val="020b0604020202020204"/>
    <w:charset w:val="00"/>
    <w:family w:val="swiss"/>
    <w:family w:val="variable"/>
    <w:sig w:usb0="20002a87" w:usb1="80000000" w:usb2="00000008" w:usb3="00000000" w:csb0="000001ff" w:csb1="00000000"/>
  </w:font>
  <w:font w:name="Cambria">
    <w:panose1 w:val="02040503050406030204"/>
    <w:charset w:val="00"/>
    <w:family w:val="roman"/>
    <w:family w:val="variable"/>
    <w:sig w:usb0="a00002ef" w:usb1="4000004b" w:usb2="00000000" w:usb3="00000000" w:csb0="0000009f" w:csb1="00000000"/>
  </w:font>
  <w:font w:name="Tahoma">
    <w:panose1 w:val="020b0604030504040204"/>
    <w:charset w:val="00"/>
    <w:family w:val="roman"/>
    <w:family w:val="variable"/>
    <w:sig w:usb0="61002a87" w:usb1="80000000" w:usb2="00000008" w:usb3="00000000" w:csb0="000001ff" w:csb1="00000000"/>
  </w:font>
  <w:font w:name="Verdana">
    <w:panose1 w:val="020b0604030504040204"/>
    <w:charset w:val="00"/>
    <w:family w:val="roman"/>
    <w:family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http://schemas.openxmlformats.org/wordprocessingml/2006/main">
  <w:abstractNum w:abstractNumId="0">
    <w:multiLevelType w:val="hybridMultilevel"/>
    <w:lvl w:ilvl="0">
      <w:start w:val="1"/>
      <w:numFmt w:val="decimal"/>
      <w:lvlText w:val="%1."/>
      <w:lvlJc w:val="left"/>
      <w:pPr>
        <w:ind w:left="720" w:hanging="360"/>
      </w:pP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multiLevelType w:val="hybridMultilevel"/>
    <w:lvl w:ilvl="0">
      <w:start w:val="1"/>
      <w:numFmt w:val="decimal"/>
      <w:lvlText w:val="%1."/>
      <w:lvlJc w:val="left"/>
      <w:pPr>
        <w:ind w:left="720" w:hanging="360"/>
      </w:pP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multiLevelType w:val="hybridMultilevel"/>
    <w:lvl w:ilvl="0">
      <w:start w:val="1"/>
      <w:numFmt w:val="decimal"/>
      <w:lvlText w:val="%1."/>
      <w:lvlJc w:val="left"/>
      <w:pPr>
        <w:ind w:left="720" w:hanging="360"/>
      </w:pP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multiLevelType w:val="hybridMultilevel"/>
    <w:lvl w:ilvl="0">
      <w:start w:val="1"/>
      <w:numFmt w:val="decimal"/>
      <w:lvlText w:val="%1."/>
      <w:lvlJc w:val="left"/>
      <w:pPr>
        <w:ind w:left="720" w:hanging="360"/>
      </w:pP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multiLevelType w:val="hybridMultilevel"/>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cs="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cs="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cs="Courier New" w:hAnsi="Courier New"/>
      </w:rPr>
    </w:lvl>
    <w:lvl w:ilvl="8">
      <w:start w:val="1"/>
      <w:numFmt w:val="bullet"/>
      <w:lvlText w:val=""/>
      <w:lvlJc w:val="left"/>
      <w:pPr>
        <w:ind w:left="6120" w:hanging="360"/>
      </w:pPr>
      <w:rPr>
        <w:rFonts w:ascii="Wingdings" w:hAnsi="Wingdings"/>
      </w:rPr>
    </w:lvl>
  </w:abstractNum>
  <w:abstractNum w:abstractNumId="5">
    <w:multiLevelType w:val="hybridMultilevel"/>
    <w:lvl w:ilvl="0">
      <w:start w:val="1"/>
      <w:numFmt w:val="lowerLetter"/>
      <w:lvlText w:val="%1."/>
      <w:lvlJc w:val="left"/>
      <w:pPr>
        <w:ind w:left="360" w:hanging="360"/>
      </w:pPr>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9E5"/>
    <w:rsid w:val="0024035E"/>
    <w:rsid w:val="00316687"/>
    <w:rsid w:val="00540B8C"/>
    <w:rsid w:val="005B4FD9"/>
    <w:rsid w:val="007B492C"/>
    <w:rsid w:val="00C136BC"/>
    <w:rsid w:val="00CA10CC"/>
    <w:rsid w:val="00CB54A1"/>
    <w:rsid w:val="00D629E5"/>
  </w:rsids>
  <m:mathPr>
    <m:mathFont m:val="Cambria Math"/>
    <m:brkBin m:val="before"/>
    <m:brkBinSub m:val="--"/>
    <m:smallFrac m:val="0"/>
    <m:dispDef/>
    <m:lMargin m:val="0"/>
    <m:rMargin m:val="0"/>
    <m:defJc m:val="centerGroup"/>
    <m:wrapIndent m:val="1440"/>
    <m:intLim m:val="subSup"/>
    <m:naryLim m:val="undOvr"/>
  </m:mathPr>
  <w:themeFontLang w:val="es-N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21CDCA-FBF9-4E71-A0B9-1BD4BB942CC2}"/>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2"/>
        <w:lang w:val="es-NI" w:bidi="ar-SA" w:eastAsia="en-US"/>
      </w:rPr>
    </w:rPrDefault>
    <w:pPrDefault>
      <w:pPr>
        <w:spacing w:after="160" w:line="259" w:lineRule="auto"/>
      </w:pPr>
    </w:pPrDefault>
  </w:docDefaults>
  <w:style w:type="paragraph" w:styleId="Heading1">
    <w:name w:val="Heading 1"/>
    <w:basedOn w:val="Normal"/>
    <w:next w:val="Normal"/>
    <w:link w:val="Heading1Char"/>
    <w:uiPriority w:val="9"/>
    <w:qFormat w:val="on"/>
    <w:pPr>
      <w:keepNext w:val="on"/>
      <w:keepLines w:val="on"/>
      <w:spacing w:before="480" w:after="0"/>
    </w:pPr>
    <w:rPr>
      <w:rFonts w:asciiTheme="majorHAnsi" w:cstheme="majorBidi" w:eastAsiaTheme="majorEastAsia" w:hAnsiTheme="majorHAnsi"/>
      <w:b/>
      <w:color w:val="2e74b4" w:themeColor="accent1" w:themeShade="bf"/>
      <w:sz w:val="28"/>
    </w:rPr>
  </w:style>
  <w:style w:type="character" w:styleId="Footnotereference">
    <w:name w:val="Footnote reference"/>
    <w:basedOn w:val="DefaultParagraphFont"/>
    <w:uiPriority w:val="99"/>
    <w:semiHidden w:val="on"/>
    <w:unhideWhenUsed w:val="on"/>
    <w:unhideWhenUsed w:val="on"/>
    <w:rPr>
      <w:vertAlign w:val="superscript"/>
    </w:rPr>
  </w:style>
  <w:style w:type="character" w:styleId="Strong">
    <w:name w:val="Strong"/>
    <w:basedOn w:val="DefaultParagraphFont"/>
    <w:uiPriority w:val="22"/>
    <w:qFormat w:val="on"/>
    <w:rPr>
      <w:b/>
    </w:rPr>
  </w:style>
  <w:style w:type="table" w:default="1" w:styleId="NormalTable">
    <w:name w:val="Normal Table"/>
    <w:uiPriority w:val="99"/>
    <w:semiHidden w:val="on"/>
    <w:unhideWhenUsed w:val="on"/>
    <w:unhideWhenUsed w:val="on"/>
    <w:tblPr>
      <w:tblInd w:w="0" w:type="dxa"/>
      <w:tblCellMar>
        <w:top w:w="0" w:type="dxa"/>
        <w:left w:w="108" w:type="dxa"/>
        <w:bottom w:w="0" w:type="dxa"/>
        <w:right w:w="108" w:type="dxa"/>
      </w:tblCellMar>
    </w:tblPr>
  </w:style>
  <w:style w:type="character" w:customStyle="1" w:styleId="Heading4Char">
    <w:name w:val="Heading 4 Char"/>
    <w:basedOn w:val="DefaultParagraphFont"/>
    <w:link w:val="Heading4"/>
    <w:uiPriority w:val="9"/>
    <w:rPr>
      <w:rFonts w:asciiTheme="majorHAnsi" w:cstheme="majorBidi" w:eastAsiaTheme="majorEastAsia" w:hAnsiTheme="majorHAnsi"/>
      <w:b/>
      <w:i/>
      <w:color w:val="5b9bd5" w:themeColor="accent1"/>
    </w:rPr>
  </w:style>
  <w:style w:type="paragraph" w:styleId="IntenseQuote">
    <w:name w:val="Intense Quote"/>
    <w:basedOn w:val="Normal"/>
    <w:next w:val="Normal"/>
    <w:link w:val="IntenseQuoteChar"/>
    <w:uiPriority w:val="30"/>
    <w:qFormat w:val="on"/>
    <w:pPr>
      <w:pBdr>
        <w:bottom w:val="single" w:color="5b9bd5" w:themeColor="accent1" w:sz="4"/>
      </w:pBdr>
      <w:spacing w:before="200" w:after="280"/>
      <w:ind w:left="936" w:right="936"/>
    </w:pPr>
    <w:rPr>
      <w:b/>
      <w:i/>
      <w:color w:val="5b9bd5" w:themeColor="accent1"/>
    </w:rPr>
  </w:style>
  <w:style w:type="character" w:styleId="Emphasis">
    <w:name w:val="Emphasis"/>
    <w:basedOn w:val="DefaultParagraphFont"/>
    <w:uiPriority w:val="20"/>
    <w:qFormat w:val="on"/>
    <w:rPr>
      <w:i/>
    </w:rPr>
  </w:style>
  <w:style w:type="character" w:styleId="BookTitle">
    <w:name w:val="Book Title"/>
    <w:basedOn w:val="DefaultParagraphFont"/>
    <w:uiPriority w:val="33"/>
    <w:qFormat w:val="on"/>
    <w:rPr>
      <w:b/>
      <w:smallCaps/>
      <w:spacing w:val="5"/>
    </w:rPr>
  </w:style>
  <w:style w:type="paragraph" w:styleId="Quote">
    <w:name w:val="Quote"/>
    <w:basedOn w:val="Normal"/>
    <w:next w:val="Normal"/>
    <w:link w:val="QuoteChar"/>
    <w:uiPriority w:val="29"/>
    <w:qFormat w:val="on"/>
    <w:rPr>
      <w:i/>
      <w:color w:val="000000" w:themeColor="text1"/>
    </w:rPr>
  </w:style>
  <w:style w:type="character" w:styleId="SubtleReference">
    <w:name w:val="Subtle Reference"/>
    <w:basedOn w:val="DefaultParagraphFont"/>
    <w:uiPriority w:val="31"/>
    <w:qFormat w:val="on"/>
    <w:rPr>
      <w:smallCaps/>
      <w:color w:val="ed7d31" w:themeColor="accent2"/>
      <w:u w:val="single"/>
    </w:rPr>
  </w:style>
  <w:style w:type="paragraph" w:styleId="Heading9">
    <w:name w:val="Heading 9"/>
    <w:basedOn w:val="Normal"/>
    <w:next w:val="Normal"/>
    <w:link w:val="Heading9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i/>
      <w:color w:val="404040" w:themeColor="text1" w:themeTint="bf"/>
      <w:sz w:val="20"/>
    </w:rPr>
  </w:style>
  <w:style w:type="paragraph" w:styleId="Heading8">
    <w:name w:val="Heading 8"/>
    <w:basedOn w:val="Normal"/>
    <w:next w:val="Normal"/>
    <w:link w:val="Heading8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color w:val="404040" w:themeColor="text1" w:themeTint="bf"/>
      <w:sz w:val="20"/>
    </w:rPr>
  </w:style>
  <w:style w:type="character" w:customStyle="1" w:styleId="IntenseQuoteChar">
    <w:name w:val="Intense Quote Char"/>
    <w:basedOn w:val="DefaultParagraphFont"/>
    <w:link w:val="IntenseQuote"/>
    <w:uiPriority w:val="30"/>
    <w:rPr>
      <w:b/>
      <w:i/>
      <w:color w:val="5b9bd5" w:themeColor="accent1"/>
    </w:rPr>
  </w:style>
  <w:style w:type="paragraph" w:styleId="Heading7">
    <w:name w:val="Heading 7"/>
    <w:basedOn w:val="Normal"/>
    <w:next w:val="Normal"/>
    <w:link w:val="Heading7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i/>
      <w:color w:val="404040" w:themeColor="text1" w:themeTint="bf"/>
    </w:rPr>
  </w:style>
  <w:style w:type="character" w:customStyle="1" w:styleId="Heading3Char">
    <w:name w:val="Heading 3 Char"/>
    <w:basedOn w:val="DefaultParagraphFont"/>
    <w:link w:val="Heading3"/>
    <w:uiPriority w:val="9"/>
    <w:rPr>
      <w:rFonts w:asciiTheme="majorHAnsi" w:cstheme="majorBidi" w:eastAsiaTheme="majorEastAsia" w:hAnsiTheme="majorHAnsi"/>
      <w:b/>
      <w:color w:val="5b9bd5" w:themeColor="accent1"/>
    </w:rPr>
  </w:style>
  <w:style w:type="paragraph" w:styleId="Heading6">
    <w:name w:val="Heading 6"/>
    <w:basedOn w:val="Normal"/>
    <w:next w:val="Normal"/>
    <w:link w:val="Heading6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i/>
      <w:color w:val="1f4d77" w:themeColor="accent1" w:themeShade="7f"/>
    </w:rPr>
  </w:style>
  <w:style w:type="character" w:customStyle="1" w:styleId="Heading5Char">
    <w:name w:val="Heading 5 Char"/>
    <w:basedOn w:val="DefaultParagraphFont"/>
    <w:link w:val="Heading5"/>
    <w:uiPriority w:val="9"/>
    <w:rPr>
      <w:rFonts w:asciiTheme="majorHAnsi" w:cstheme="majorBidi" w:eastAsiaTheme="majorEastAsia" w:hAnsiTheme="majorHAnsi"/>
      <w:color w:val="1f4d77" w:themeColor="accent1" w:themeShade="7f"/>
    </w:rPr>
  </w:style>
  <w:style w:type="paragraph" w:styleId="Heading5">
    <w:name w:val="Heading 5"/>
    <w:basedOn w:val="Normal"/>
    <w:next w:val="Normal"/>
    <w:link w:val="Heading5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color w:val="1f4d77" w:themeColor="accent1" w:themeShade="7f"/>
    </w:rPr>
  </w:style>
  <w:style w:type="paragraph" w:styleId="Heading4">
    <w:name w:val="Heading 4"/>
    <w:basedOn w:val="Normal"/>
    <w:next w:val="Normal"/>
    <w:link w:val="Heading4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b/>
      <w:i/>
      <w:color w:val="5b9bd5" w:themeColor="accent1"/>
    </w:rPr>
  </w:style>
  <w:style w:type="paragraph" w:styleId="Heading3">
    <w:name w:val="Heading 3"/>
    <w:basedOn w:val="Normal"/>
    <w:next w:val="Normal"/>
    <w:link w:val="Heading3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b/>
      <w:color w:val="5b9bd5" w:themeColor="accent1"/>
    </w:rPr>
  </w:style>
  <w:style w:type="paragraph" w:styleId="Heading2">
    <w:name w:val="Heading 2"/>
    <w:basedOn w:val="Normal"/>
    <w:next w:val="Normal"/>
    <w:link w:val="Heading2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b/>
      <w:color w:val="5b9bd5" w:themeColor="accent1"/>
      <w:sz w:val="26"/>
    </w:rPr>
  </w:style>
  <w:style w:type="character" w:default="1" w:styleId="DefaultParagraphFont">
    <w:name w:val="Default Paragraph Font"/>
    <w:uiPriority w:val="1"/>
    <w:semiHidden w:val="on"/>
    <w:unhideWhenUsed w:val="on"/>
    <w:unhideWhenUsed w:val="on"/>
  </w:style>
  <w:style w:type="character" w:customStyle="1" w:styleId="Heading1Char">
    <w:name w:val="Heading 1 Char"/>
    <w:basedOn w:val="DefaultParagraphFont"/>
    <w:link w:val="Heading1"/>
    <w:uiPriority w:val="9"/>
    <w:rPr>
      <w:rFonts w:asciiTheme="majorHAnsi" w:cstheme="majorBidi" w:eastAsiaTheme="majorEastAsia" w:hAnsiTheme="majorHAnsi"/>
      <w:b/>
      <w:color w:val="2e74b4" w:themeColor="accent1" w:themeShade="bf"/>
      <w:sz w:val="28"/>
    </w:rPr>
  </w:style>
  <w:style w:type="character" w:customStyle="1" w:styleId="PlainTextChar">
    <w:name w:val="Plain Text Char"/>
    <w:basedOn w:val="DefaultParagraphFont"/>
    <w:link w:val="PlainText"/>
    <w:uiPriority w:val="99"/>
    <w:rPr>
      <w:rFonts w:ascii="Courier New" w:cs="Courier New" w:hAnsi="Courier New"/>
      <w:sz w:val="21"/>
    </w:rPr>
  </w:style>
  <w:style w:type="character" w:styleId="Endnotereference">
    <w:name w:val="Endnote reference"/>
    <w:basedOn w:val="DefaultParagraphFont"/>
    <w:uiPriority w:val="99"/>
    <w:semiHidden w:val="on"/>
    <w:unhideWhenUsed w:val="on"/>
    <w:unhideWhenUsed w:val="on"/>
    <w:rPr>
      <w:vertAlign w:val="superscript"/>
    </w:rPr>
  </w:style>
  <w:style w:type="character" w:styleId="SubtleEmphasis">
    <w:name w:val="Subtle Emphasis"/>
    <w:basedOn w:val="DefaultParagraphFont"/>
    <w:uiPriority w:val="19"/>
    <w:qFormat w:val="on"/>
    <w:rPr>
      <w:i/>
      <w:color w:val="808080" w:themeColor="text1" w:themeTint="7f"/>
    </w:rPr>
  </w:style>
  <w:style w:type="character" w:customStyle="1" w:styleId="SubtitleChar">
    <w:name w:val="Subtitle Char"/>
    <w:basedOn w:val="DefaultParagraphFont"/>
    <w:link w:val="Subtitle"/>
    <w:uiPriority w:val="11"/>
    <w:rPr>
      <w:rFonts w:asciiTheme="majorHAnsi" w:cstheme="majorBidi" w:eastAsiaTheme="majorEastAsia" w:hAnsiTheme="majorHAnsi"/>
      <w:i/>
      <w:color w:val="5b9bd5" w:themeColor="accent1"/>
      <w:spacing w:val="15"/>
      <w:sz w:val="24"/>
    </w:rPr>
  </w:style>
  <w:style w:type="paragraph" w:styleId="ListParagraph">
    <w:name w:val="List Paragraph"/>
    <w:basedOn w:val="Normal"/>
    <w:uiPriority w:val="34"/>
    <w:qFormat w:val="on"/>
    <w:pPr>
      <w:ind w:left="720"/>
      <w:contextualSpacing w:val="on"/>
    </w:pPr>
  </w:style>
  <w:style w:type="character" w:customStyle="1" w:styleId="EndnoteTextChar">
    <w:name w:val="Endnote Text Char"/>
    <w:basedOn w:val="DefaultParagraphFont"/>
    <w:link w:val="Endnotetext"/>
    <w:uiPriority w:val="99"/>
    <w:semiHidden w:val="on"/>
    <w:rPr>
      <w:sz w:val="20"/>
    </w:rPr>
  </w:style>
  <w:style w:type="character" w:styleId="IntenseReference">
    <w:name w:val="Intense Reference"/>
    <w:basedOn w:val="DefaultParagraphFont"/>
    <w:uiPriority w:val="32"/>
    <w:qFormat w:val="on"/>
    <w:rPr>
      <w:b/>
      <w:smallCaps/>
      <w:color w:val="ed7d31" w:themeColor="accent2"/>
      <w:spacing w:val="5"/>
      <w:u w:val="single"/>
    </w:rPr>
  </w:style>
  <w:style w:type="paragraph" w:styleId="Endnotetext">
    <w:name w:val="Endnote text"/>
    <w:basedOn w:val="Normal"/>
    <w:link w:val="EndnoteTextChar"/>
    <w:uiPriority w:val="99"/>
    <w:semiHidden w:val="on"/>
    <w:unhideWhenUsed w:val="on"/>
    <w:unhideWhenUsed w:val="on"/>
    <w:pPr>
      <w:spacing w:after="0" w:line="240" w:lineRule="auto"/>
    </w:pPr>
    <w:rPr>
      <w:sz w:val="20"/>
    </w:rPr>
  </w:style>
  <w:style w:type="character" w:customStyle="1" w:styleId="FootnoteTextChar">
    <w:name w:val="Footnote Text Char"/>
    <w:basedOn w:val="DefaultParagraphFont"/>
    <w:link w:val="Footnotetext"/>
    <w:uiPriority w:val="99"/>
    <w:semiHidden w:val="on"/>
    <w:rPr>
      <w:sz w:val="20"/>
    </w:rPr>
  </w:style>
  <w:style w:type="paragraph" w:styleId="Footnotetext">
    <w:name w:val="Footnote text"/>
    <w:basedOn w:val="Normal"/>
    <w:link w:val="FootnoteTextChar"/>
    <w:uiPriority w:val="99"/>
    <w:semiHidden w:val="on"/>
    <w:unhideWhenUsed w:val="on"/>
    <w:unhideWhenUsed w:val="on"/>
    <w:pPr>
      <w:spacing w:after="0" w:line="240" w:lineRule="auto"/>
    </w:pPr>
    <w:rPr>
      <w:sz w:val="20"/>
    </w:rPr>
  </w:style>
  <w:style w:type="paragraph" w:default="1" w:styleId="Normal">
    <w:name w:val="Normal"/>
    <w:uiPriority w:val="99"/>
    <w:qFormat w:val="on"/>
  </w:style>
  <w:style w:type="character" w:customStyle="1" w:styleId="Heading6Char">
    <w:name w:val="Heading 6 Char"/>
    <w:basedOn w:val="DefaultParagraphFont"/>
    <w:link w:val="Heading6"/>
    <w:uiPriority w:val="9"/>
    <w:rPr>
      <w:rFonts w:asciiTheme="majorHAnsi" w:cstheme="majorBidi" w:eastAsiaTheme="majorEastAsia" w:hAnsiTheme="majorHAnsi"/>
      <w:i/>
      <w:color w:val="1f4d77" w:themeColor="accent1" w:themeShade="7f"/>
    </w:rPr>
  </w:style>
  <w:style w:type="paragraph" w:styleId="PlainText">
    <w:name w:val="Plain Text"/>
    <w:basedOn w:val="Normal"/>
    <w:link w:val="PlainTextChar"/>
    <w:uiPriority w:val="99"/>
    <w:semiHidden w:val="on"/>
    <w:unhideWhenUsed w:val="on"/>
    <w:unhideWhenUsed w:val="on"/>
    <w:pPr>
      <w:spacing w:after="0" w:line="240" w:lineRule="auto"/>
    </w:pPr>
    <w:rPr>
      <w:rFonts w:ascii="Courier New" w:cs="Courier New" w:hAnsi="Courier New"/>
      <w:sz w:val="21"/>
    </w:rPr>
  </w:style>
  <w:style w:type="character" w:styleId="IntenseEmphasis">
    <w:name w:val="Intense Emphasis"/>
    <w:basedOn w:val="DefaultParagraphFont"/>
    <w:uiPriority w:val="21"/>
    <w:qFormat w:val="on"/>
    <w:rPr>
      <w:b/>
      <w:i/>
      <w:color w:val="5b9bd5" w:themeColor="accent1"/>
    </w:rPr>
  </w:style>
  <w:style w:type="paragraph" w:styleId="NoSpacing">
    <w:name w:val="No Spacing"/>
    <w:uiPriority w:val="1"/>
    <w:qFormat w:val="on"/>
    <w:pPr>
      <w:spacing w:after="0" w:line="240" w:lineRule="auto"/>
    </w:pPr>
  </w:style>
  <w:style w:type="character" w:styleId="Hyperlink">
    <w:name w:val="Hyperlink"/>
    <w:basedOn w:val="DefaultParagraphFont"/>
    <w:uiPriority w:val="99"/>
    <w:unhideWhenUsed w:val="on"/>
    <w:unhideWhenUsed w:val="on"/>
    <w:rPr>
      <w:color w:val="0563c1" w:themeColor="hyperlink"/>
      <w:u w:val="single"/>
    </w:rPr>
  </w:style>
  <w:style w:type="paragraph" w:styleId="Subtitle">
    <w:name w:val="Subtitle"/>
    <w:basedOn w:val="Normal"/>
    <w:next w:val="Normal"/>
    <w:link w:val="SubtitleChar"/>
    <w:uiPriority w:val="11"/>
    <w:qFormat w:val="on"/>
    <w:pPr>
      <w:numPr>
        <w:ilvl w:val="1"/>
      </w:numPr>
    </w:pPr>
    <w:rPr>
      <w:rFonts w:asciiTheme="majorHAnsi" w:cstheme="majorBidi" w:eastAsiaTheme="majorEastAsia" w:hAnsiTheme="majorHAnsi"/>
      <w:i/>
      <w:color w:val="5b9bd5" w:themeColor="accent1"/>
      <w:spacing w:val="15"/>
      <w:sz w:val="24"/>
    </w:rPr>
  </w:style>
  <w:style w:type="character" w:customStyle="1" w:styleId="Heading2Char">
    <w:name w:val="Heading 2 Char"/>
    <w:basedOn w:val="DefaultParagraphFont"/>
    <w:link w:val="Heading2"/>
    <w:uiPriority w:val="9"/>
    <w:rPr>
      <w:rFonts w:asciiTheme="majorHAnsi" w:cstheme="majorBidi" w:eastAsiaTheme="majorEastAsia" w:hAnsiTheme="majorHAnsi"/>
      <w:b/>
      <w:color w:val="5b9bd5" w:themeColor="accent1"/>
      <w:sz w:val="26"/>
    </w:rPr>
  </w:style>
  <w:style w:type="character" w:customStyle="1" w:styleId="TitleChar">
    <w:name w:val="Title Char"/>
    <w:basedOn w:val="DefaultParagraphFont"/>
    <w:link w:val="Title"/>
    <w:uiPriority w:val="10"/>
    <w:rPr>
      <w:rFonts w:asciiTheme="majorHAnsi" w:cstheme="majorBidi" w:eastAsiaTheme="majorEastAsia" w:hAnsiTheme="majorHAnsi"/>
      <w:color w:val="333f4f" w:themeColor="text2" w:themeShade="bf"/>
      <w:spacing w:val="5"/>
      <w:sz w:val="52"/>
    </w:rPr>
  </w:style>
  <w:style w:type="character" w:customStyle="1" w:styleId="Heading7Char">
    <w:name w:val="Heading 7 Char"/>
    <w:basedOn w:val="DefaultParagraphFont"/>
    <w:link w:val="Heading7"/>
    <w:uiPriority w:val="9"/>
    <w:rPr>
      <w:rFonts w:asciiTheme="majorHAnsi" w:cstheme="majorBidi" w:eastAsiaTheme="majorEastAsia" w:hAnsiTheme="majorHAnsi"/>
      <w:i/>
      <w:color w:val="404040" w:themeColor="text1" w:themeTint="bf"/>
    </w:rPr>
  </w:style>
  <w:style w:type="character" w:customStyle="1" w:styleId="Heading9Char">
    <w:name w:val="Heading 9 Char"/>
    <w:basedOn w:val="DefaultParagraphFont"/>
    <w:link w:val="Heading9"/>
    <w:uiPriority w:val="9"/>
    <w:rPr>
      <w:rFonts w:asciiTheme="majorHAnsi" w:cstheme="majorBidi" w:eastAsiaTheme="majorEastAsia" w:hAnsiTheme="majorHAnsi"/>
      <w:i/>
      <w:color w:val="404040" w:themeColor="text1" w:themeTint="bf"/>
      <w:sz w:val="20"/>
    </w:rPr>
  </w:style>
  <w:style w:type="numbering" w:default="1" w:styleId="NoList">
    <w:name w:val="No List"/>
    <w:uiPriority w:val="99"/>
    <w:semiHidden w:val="on"/>
    <w:unhideWhenUsed w:val="on"/>
    <w:unhideWhenUsed w:val="on"/>
  </w:style>
  <w:style w:type="character" w:customStyle="1" w:styleId="Heading8Char">
    <w:name w:val="Heading 8 Char"/>
    <w:basedOn w:val="DefaultParagraphFont"/>
    <w:link w:val="Heading8"/>
    <w:uiPriority w:val="9"/>
    <w:rPr>
      <w:rFonts w:asciiTheme="majorHAnsi" w:cstheme="majorBidi" w:eastAsiaTheme="majorEastAsia" w:hAnsiTheme="majorHAnsi"/>
      <w:color w:val="404040" w:themeColor="text1" w:themeTint="bf"/>
      <w:sz w:val="20"/>
    </w:rPr>
  </w:style>
  <w:style w:type="paragraph" w:styleId="Title">
    <w:name w:val="Title"/>
    <w:basedOn w:val="Normal"/>
    <w:next w:val="Normal"/>
    <w:link w:val="TitleChar"/>
    <w:uiPriority w:val="10"/>
    <w:qFormat w:val="on"/>
    <w:pPr>
      <w:pBdr>
        <w:bottom w:val="single" w:color="5b9bd5" w:themeColor="accent1" w:sz="8"/>
      </w:pBdr>
      <w:spacing w:after="300" w:line="240" w:lineRule="auto"/>
      <w:contextualSpacing w:val="on"/>
    </w:pPr>
    <w:rPr>
      <w:rFonts w:asciiTheme="majorHAnsi" w:cstheme="majorBidi" w:eastAsiaTheme="majorEastAsia" w:hAnsiTheme="majorHAnsi"/>
      <w:color w:val="333f4f" w:themeColor="text2" w:themeShade="bf"/>
      <w:spacing w:val="5"/>
      <w:sz w:val="52"/>
    </w:rPr>
  </w:style>
  <w:style w:type="character" w:customStyle="1" w:styleId="QuoteChar">
    <w:name w:val="Quote Char"/>
    <w:basedOn w:val="DefaultParagraphFont"/>
    <w:link w:val="Quote"/>
    <w:uiPriority w:val="29"/>
    <w:rPr>
      <w:i/>
      <w:color w:val="000000" w:themeColor="text1"/>
    </w:rPr>
  </w:style>
  <w:style w:type="table" w:styleId="TableGrid">
    <w:name w:val="Table Grid"/>
    <w:basedOn w:val="NormalTable"/>
    <w:uiPriority w:val="59"/>
    <w:pPr>
      <w:spacing w:after="0" w:line="240" w:lineRule="auto"/>
    </w:pPr>
    <w:tblPr>
      <w:tblBorders>
        <w:top w:val="single" w:color="auto" w:sz="4"/>
        <w:left w:val="single" w:color="auto" w:sz="4"/>
        <w:bottom w:val="single" w:color="auto" w:sz="4"/>
        <w:right w:val="single" w:color="auto" w:sz="4"/>
        <w:insideH w:val="single" w:color="auto" w:sz="4"/>
        <w:insideV w:val="single" w:color="auto" w:sz="4"/>
      </w:tblBorders>
    </w:tblPr>
  </w:style>
  <w:style w:type="table" w:styleId="LightListAccent2">
    <w:name w:val="Light List Accent 2"/>
    <w:uiPriority w:val="61"/>
    <w:pPr>
      <w:spacing w:after="0" w:line="240" w:lineRule="auto"/>
    </w:pPr>
    <w:tblPr>
      <w:tblStyleRowBandSize w:val="1"/>
      <w:tblStyleColBandSize w:val="1"/>
      <w:tblInd w:w="0" w:type="dxa"/>
      <w:tblBorders>
        <w:top w:val="single" w:color="c0504d" w:sz="8"/>
        <w:left w:val="single" w:color="c0504d" w:sz="8"/>
        <w:bottom w:val="single" w:color="c0504d" w:sz="8"/>
        <w:right w:val="single" w:color="c0504d" w:sz="8"/>
      </w:tblBorders>
      <w:tblCellMar>
        <w:top w:w="0" w:type="dxa"/>
        <w:left w:w="108" w:type="dxa"/>
        <w:bottom w:w="0" w:type="dxa"/>
        <w:right w:w="108" w:type="dxa"/>
      </w:tblCellMar>
    </w:tblPr>
    <w:tblStylePr w:type="firstRow">
      <w:pPr>
        <w:spacing w:before="0" w:after="0" w:line="240" w:lineRule="auto"/>
      </w:pPr>
      <w:rPr>
        <w:b/>
        <w:color w:val="ffffff"/>
      </w:rPr>
      <w:tblPr/>
      <w:tcPr>
        <w:shd w:val="clear" w:color="auto" w:fill="c0504d"/>
      </w:tcPr>
    </w:tblStylePr>
    <w:tblStylePr w:type="lastRow">
      <w:pPr>
        <w:spacing w:before="0" w:after="0" w:line="240" w:lineRule="auto"/>
      </w:pPr>
      <w:rPr>
        <w:b/>
      </w:rPr>
      <w:tblPr/>
      <w:tcPr>
        <w:tcBorders>
          <w:top w:val="double" w:color="c0504d" w:sz="6"/>
          <w:left w:val="single" w:color="c0504d" w:sz="8"/>
          <w:bottom w:val="single" w:color="c0504d" w:sz="8"/>
          <w:right w:val="single" w:color="c0504d" w:sz="8"/>
        </w:tcBorders>
      </w:tcPr>
    </w:tblStylePr>
    <w:tblStylePr w:type="firstCol">
      <w:rPr>
        <w:b/>
      </w:rPr>
    </w:tblStylePr>
    <w:tblStylePr w:type="lastCol">
      <w:rPr>
        <w:b/>
      </w:rPr>
    </w:tblStylePr>
    <w:tblStylePr w:type="band1Vert">
      <w:tblPr/>
      <w:tcPr>
        <w:tcBorders>
          <w:top w:val="single" w:color="c0504d" w:sz="8"/>
          <w:left w:val="single" w:color="c0504d" w:sz="8"/>
          <w:bottom w:val="single" w:color="c0504d" w:sz="8"/>
          <w:right w:val="single" w:color="c0504d" w:sz="8"/>
        </w:tcBorders>
      </w:tcPr>
    </w:tblStylePr>
    <w:tblStylePr w:type="band1Horz">
      <w:tblPr/>
      <w:tcPr>
        <w:tcBorders>
          <w:top w:val="single" w:color="c0504d" w:sz="8"/>
          <w:left w:val="single" w:color="c0504d" w:sz="8"/>
          <w:bottom w:val="single" w:color="c0504d" w:sz="8"/>
          <w:right w:val="single" w:color="c0504d" w:sz="8"/>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65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 Type="http://schemas.openxmlformats.org/officeDocument/2006/relationships/styles" Target="styles.xml"/><Relationship Id="rId1" Type="http://schemas.openxmlformats.org/officeDocument/2006/relationships/numbering" Target="numbering.xml"/><Relationship Id="rId3" Type="http://schemas.openxmlformats.org/officeDocument/2006/relationships/settings" Target="setting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954</Words>
  <Characters>5247</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Yesly Mora</dc:creator>
  <cp:keywords/>
  <dc:description/>
  <cp:lastModifiedBy>Yesly Mora</cp:lastModifiedBy>
  <cp:revision>6</cp:revision>
  <dcterms:created xsi:type="dcterms:W3CDTF">2014-01-09T05:59:00Z</dcterms:created>
  <dcterms:modified xsi:type="dcterms:W3CDTF">2014-01-09T07:53:00Z</dcterms:modified>
</cp:coreProperties>
</file>